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DB278" w14:textId="77777777" w:rsidR="00D45820" w:rsidRPr="008920F5" w:rsidRDefault="00D45820" w:rsidP="00D45820">
      <w:pPr>
        <w:pStyle w:val="af2"/>
        <w:tabs>
          <w:tab w:val="left" w:pos="2155"/>
        </w:tabs>
        <w:spacing w:after="120"/>
        <w:ind w:left="2610" w:hanging="2610"/>
        <w:jc w:val="both"/>
        <w:rPr>
          <w:rFonts w:cs="Arial"/>
          <w:sz w:val="24"/>
          <w:szCs w:val="24"/>
        </w:rPr>
      </w:pPr>
      <w:bookmarkStart w:id="0" w:name="_Toc502932909"/>
      <w:r w:rsidRPr="008920F5">
        <w:rPr>
          <w:rFonts w:cs="Arial"/>
          <w:sz w:val="24"/>
          <w:szCs w:val="24"/>
        </w:rPr>
        <w:t>3GPP TSG-RAN WG4 Meeting #1</w:t>
      </w:r>
      <w:r w:rsidR="00186A02" w:rsidRPr="008920F5">
        <w:rPr>
          <w:rFonts w:cs="Arial"/>
          <w:sz w:val="24"/>
          <w:szCs w:val="24"/>
        </w:rPr>
        <w:t>1</w:t>
      </w:r>
      <w:r w:rsidR="008920F5" w:rsidRPr="008920F5">
        <w:rPr>
          <w:rFonts w:cs="Arial"/>
          <w:sz w:val="24"/>
          <w:szCs w:val="24"/>
        </w:rPr>
        <w:t>3</w:t>
      </w:r>
      <w:r w:rsidRPr="008920F5">
        <w:rPr>
          <w:rFonts w:cs="Arial"/>
          <w:sz w:val="24"/>
          <w:szCs w:val="24"/>
        </w:rPr>
        <w:tab/>
      </w:r>
      <w:r w:rsidRPr="008920F5">
        <w:rPr>
          <w:rFonts w:cs="Arial"/>
          <w:sz w:val="24"/>
          <w:szCs w:val="24"/>
        </w:rPr>
        <w:tab/>
      </w:r>
      <w:r w:rsidRPr="008920F5">
        <w:rPr>
          <w:rFonts w:cs="Arial"/>
          <w:sz w:val="24"/>
          <w:szCs w:val="24"/>
        </w:rPr>
        <w:tab/>
        <w:t xml:space="preserve">                                               </w:t>
      </w:r>
      <w:r w:rsidR="00EC638C" w:rsidRPr="008920F5">
        <w:rPr>
          <w:rFonts w:cs="Arial"/>
          <w:sz w:val="24"/>
          <w:szCs w:val="24"/>
        </w:rPr>
        <w:t xml:space="preserve"> </w:t>
      </w:r>
      <w:r w:rsidR="008920F5" w:rsidRPr="008920F5">
        <w:rPr>
          <w:rFonts w:cs="Arial"/>
          <w:sz w:val="24"/>
          <w:szCs w:val="24"/>
        </w:rPr>
        <w:t xml:space="preserve">   </w:t>
      </w:r>
      <w:r w:rsidRPr="008920F5">
        <w:rPr>
          <w:rFonts w:cs="Arial"/>
          <w:sz w:val="24"/>
          <w:szCs w:val="24"/>
        </w:rPr>
        <w:t>R4-2</w:t>
      </w:r>
      <w:r w:rsidR="008433AD" w:rsidRPr="008920F5">
        <w:rPr>
          <w:rFonts w:cs="Arial"/>
          <w:sz w:val="24"/>
          <w:szCs w:val="24"/>
        </w:rPr>
        <w:t>4</w:t>
      </w:r>
      <w:r w:rsidR="005C6D11" w:rsidRPr="008920F5">
        <w:rPr>
          <w:rFonts w:cs="Arial"/>
          <w:sz w:val="24"/>
          <w:szCs w:val="24"/>
        </w:rPr>
        <w:t>1</w:t>
      </w:r>
      <w:r w:rsidR="008920F5" w:rsidRPr="008920F5">
        <w:rPr>
          <w:rFonts w:cs="Arial"/>
          <w:sz w:val="24"/>
          <w:szCs w:val="24"/>
        </w:rPr>
        <w:t>7937</w:t>
      </w:r>
    </w:p>
    <w:p w14:paraId="79247371" w14:textId="77777777" w:rsidR="008920F5" w:rsidRPr="008920F5" w:rsidRDefault="008920F5">
      <w:pPr>
        <w:pStyle w:val="af2"/>
        <w:tabs>
          <w:tab w:val="left" w:pos="2155"/>
        </w:tabs>
        <w:spacing w:after="120"/>
        <w:ind w:left="2610" w:hanging="2610"/>
        <w:jc w:val="both"/>
        <w:rPr>
          <w:rFonts w:cs="Arial"/>
          <w:sz w:val="24"/>
          <w:szCs w:val="24"/>
        </w:rPr>
      </w:pPr>
      <w:r w:rsidRPr="008920F5">
        <w:rPr>
          <w:rFonts w:cs="Arial"/>
          <w:sz w:val="24"/>
          <w:szCs w:val="24"/>
        </w:rPr>
        <w:t>Orlando, US, 18th – 22nd November, 2024</w:t>
      </w:r>
    </w:p>
    <w:p w14:paraId="066DABB1" w14:textId="77777777" w:rsidR="00571C34" w:rsidRPr="008920F5" w:rsidRDefault="00571C34">
      <w:pPr>
        <w:pStyle w:val="af2"/>
        <w:tabs>
          <w:tab w:val="left" w:pos="2155"/>
        </w:tabs>
        <w:spacing w:after="120"/>
        <w:ind w:left="2610" w:hanging="2610"/>
        <w:jc w:val="both"/>
        <w:rPr>
          <w:rFonts w:hint="eastAsia"/>
          <w:sz w:val="24"/>
          <w:szCs w:val="24"/>
          <w:lang w:val="en-US" w:eastAsia="zh-CN"/>
        </w:rPr>
      </w:pPr>
      <w:r w:rsidRPr="008920F5">
        <w:rPr>
          <w:sz w:val="24"/>
          <w:szCs w:val="24"/>
          <w:lang w:eastAsia="zh-CN"/>
        </w:rPr>
        <w:t>Agenda Item:</w:t>
      </w:r>
      <w:r w:rsidRPr="008920F5">
        <w:rPr>
          <w:rFonts w:hint="eastAsia"/>
          <w:sz w:val="24"/>
          <w:szCs w:val="24"/>
          <w:lang w:eastAsia="zh-CN"/>
        </w:rPr>
        <w:tab/>
      </w:r>
      <w:r w:rsidR="008920F5" w:rsidRPr="008920F5">
        <w:rPr>
          <w:b w:val="0"/>
          <w:sz w:val="24"/>
          <w:szCs w:val="24"/>
          <w:lang w:val="en-US" w:eastAsia="zh-CN"/>
        </w:rPr>
        <w:t>7</w:t>
      </w:r>
      <w:r w:rsidR="004C40FC" w:rsidRPr="008920F5">
        <w:rPr>
          <w:rFonts w:hint="eastAsia"/>
          <w:b w:val="0"/>
          <w:sz w:val="24"/>
          <w:szCs w:val="24"/>
          <w:lang w:val="en-US" w:eastAsia="zh-CN"/>
        </w:rPr>
        <w:t>.</w:t>
      </w:r>
      <w:r w:rsidR="007B5E2B" w:rsidRPr="008920F5">
        <w:rPr>
          <w:b w:val="0"/>
          <w:sz w:val="24"/>
          <w:szCs w:val="24"/>
          <w:lang w:val="en-US" w:eastAsia="zh-CN"/>
        </w:rPr>
        <w:t>1</w:t>
      </w:r>
      <w:r w:rsidR="00BD3084" w:rsidRPr="008920F5">
        <w:rPr>
          <w:b w:val="0"/>
          <w:sz w:val="24"/>
          <w:szCs w:val="24"/>
          <w:lang w:val="en-US" w:eastAsia="zh-CN"/>
        </w:rPr>
        <w:t>.</w:t>
      </w:r>
      <w:r w:rsidR="00EC638C" w:rsidRPr="008920F5">
        <w:rPr>
          <w:b w:val="0"/>
          <w:sz w:val="24"/>
          <w:szCs w:val="24"/>
          <w:lang w:val="en-US" w:eastAsia="zh-CN"/>
        </w:rPr>
        <w:t>1.</w:t>
      </w:r>
      <w:r w:rsidR="005C6D11" w:rsidRPr="008920F5">
        <w:rPr>
          <w:b w:val="0"/>
          <w:sz w:val="24"/>
          <w:szCs w:val="24"/>
          <w:lang w:val="en-US" w:eastAsia="zh-CN"/>
        </w:rPr>
        <w:t>1</w:t>
      </w:r>
      <w:r w:rsidR="00EC638C" w:rsidRPr="008920F5">
        <w:rPr>
          <w:b w:val="0"/>
          <w:sz w:val="24"/>
          <w:szCs w:val="24"/>
          <w:lang w:val="en-US" w:eastAsia="zh-CN"/>
        </w:rPr>
        <w:t>.</w:t>
      </w:r>
      <w:r w:rsidR="00A61EE0" w:rsidRPr="008920F5">
        <w:rPr>
          <w:b w:val="0"/>
          <w:sz w:val="24"/>
          <w:szCs w:val="24"/>
          <w:lang w:val="en-US" w:eastAsia="zh-CN"/>
        </w:rPr>
        <w:t>2</w:t>
      </w:r>
    </w:p>
    <w:p w14:paraId="38605FAC" w14:textId="77777777" w:rsidR="00571C34" w:rsidRPr="002C1766" w:rsidRDefault="00571C34">
      <w:pPr>
        <w:pStyle w:val="af2"/>
        <w:tabs>
          <w:tab w:val="left" w:pos="2165"/>
        </w:tabs>
        <w:spacing w:after="120"/>
        <w:ind w:left="2127" w:hanging="2127"/>
        <w:jc w:val="both"/>
        <w:rPr>
          <w:rFonts w:hint="eastAsia"/>
          <w:sz w:val="24"/>
          <w:szCs w:val="24"/>
          <w:lang w:val="en-US" w:eastAsia="zh-CN"/>
        </w:rPr>
      </w:pPr>
      <w:r w:rsidRPr="002C1766">
        <w:rPr>
          <w:sz w:val="24"/>
          <w:szCs w:val="24"/>
          <w:lang w:eastAsia="zh-CN"/>
        </w:rPr>
        <w:t>Source</w:t>
      </w:r>
      <w:r w:rsidRPr="002C1766">
        <w:rPr>
          <w:rFonts w:hint="eastAsia"/>
          <w:sz w:val="24"/>
          <w:szCs w:val="24"/>
          <w:lang w:eastAsia="zh-CN"/>
        </w:rPr>
        <w:t>:</w:t>
      </w:r>
      <w:r w:rsidRPr="002C1766">
        <w:rPr>
          <w:rFonts w:hint="eastAsia"/>
          <w:sz w:val="24"/>
          <w:szCs w:val="24"/>
          <w:lang w:eastAsia="zh-CN"/>
        </w:rPr>
        <w:tab/>
      </w:r>
      <w:r w:rsidR="004C40FC" w:rsidRPr="002C1766">
        <w:rPr>
          <w:b w:val="0"/>
          <w:sz w:val="24"/>
          <w:szCs w:val="24"/>
          <w:lang w:eastAsia="zh-CN"/>
        </w:rPr>
        <w:t>Xiaomi</w:t>
      </w:r>
    </w:p>
    <w:p w14:paraId="64431011" w14:textId="77777777" w:rsidR="00571C34" w:rsidRPr="00543D75" w:rsidRDefault="00571C34">
      <w:pPr>
        <w:pStyle w:val="af2"/>
        <w:spacing w:after="120"/>
        <w:ind w:left="2127" w:hanging="2127"/>
        <w:jc w:val="both"/>
        <w:rPr>
          <w:rFonts w:hint="eastAsia"/>
          <w:b w:val="0"/>
          <w:lang w:val="en-US" w:eastAsia="zh-CN"/>
        </w:rPr>
      </w:pPr>
      <w:r w:rsidRPr="00543D75">
        <w:rPr>
          <w:sz w:val="24"/>
          <w:szCs w:val="24"/>
          <w:lang w:val="en-US" w:eastAsia="zh-CN"/>
        </w:rPr>
        <w:t>Title:</w:t>
      </w:r>
      <w:r w:rsidRPr="00543D75">
        <w:rPr>
          <w:rFonts w:hint="eastAsia"/>
          <w:sz w:val="24"/>
          <w:szCs w:val="24"/>
          <w:lang w:val="en-US" w:eastAsia="zh-CN"/>
        </w:rPr>
        <w:tab/>
      </w:r>
      <w:r w:rsidR="00BD3084">
        <w:rPr>
          <w:b w:val="0"/>
          <w:sz w:val="24"/>
          <w:szCs w:val="24"/>
          <w:lang w:val="en-US" w:eastAsia="zh-CN"/>
        </w:rPr>
        <w:t>D</w:t>
      </w:r>
      <w:r w:rsidR="00807C14" w:rsidRPr="00543D75">
        <w:rPr>
          <w:b w:val="0"/>
          <w:sz w:val="24"/>
          <w:szCs w:val="24"/>
          <w:lang w:val="en-US" w:eastAsia="zh-CN"/>
        </w:rPr>
        <w:t>iscussion</w:t>
      </w:r>
      <w:r w:rsidR="00EF15FA">
        <w:rPr>
          <w:b w:val="0"/>
          <w:sz w:val="24"/>
          <w:szCs w:val="24"/>
          <w:lang w:val="en-US" w:eastAsia="zh-CN"/>
        </w:rPr>
        <w:t xml:space="preserve"> on </w:t>
      </w:r>
      <w:r w:rsidR="003F0458">
        <w:rPr>
          <w:b w:val="0"/>
          <w:sz w:val="24"/>
          <w:szCs w:val="24"/>
          <w:lang w:val="en-US" w:eastAsia="zh-CN"/>
        </w:rPr>
        <w:t xml:space="preserve">PC1.5 </w:t>
      </w:r>
      <w:bookmarkStart w:id="1" w:name="_Hlk173254241"/>
      <w:r w:rsidR="003F0458">
        <w:rPr>
          <w:b w:val="0"/>
          <w:sz w:val="24"/>
          <w:szCs w:val="24"/>
          <w:lang w:val="en-US" w:eastAsia="zh-CN"/>
        </w:rPr>
        <w:t>TDD intra-band CA</w:t>
      </w:r>
      <w:bookmarkEnd w:id="1"/>
    </w:p>
    <w:p w14:paraId="7BCC3A0F" w14:textId="77777777" w:rsidR="00571C34" w:rsidRPr="00543D75" w:rsidRDefault="00571C34">
      <w:pPr>
        <w:pStyle w:val="af2"/>
        <w:tabs>
          <w:tab w:val="left" w:pos="2160"/>
        </w:tabs>
        <w:spacing w:after="120"/>
        <w:ind w:left="2610" w:hanging="2610"/>
        <w:jc w:val="both"/>
        <w:rPr>
          <w:rFonts w:hint="eastAsia"/>
          <w:sz w:val="24"/>
          <w:szCs w:val="24"/>
          <w:lang w:val="en-US" w:eastAsia="zh-CN"/>
        </w:rPr>
      </w:pPr>
      <w:r w:rsidRPr="00543D75">
        <w:rPr>
          <w:sz w:val="24"/>
          <w:szCs w:val="24"/>
          <w:lang w:eastAsia="zh-CN"/>
        </w:rPr>
        <w:t>Document for:</w:t>
      </w:r>
      <w:r w:rsidRPr="00543D75">
        <w:rPr>
          <w:rFonts w:hint="eastAsia"/>
          <w:sz w:val="24"/>
          <w:szCs w:val="24"/>
          <w:lang w:eastAsia="zh-CN"/>
        </w:rPr>
        <w:tab/>
      </w:r>
      <w:r w:rsidR="00067E7F">
        <w:rPr>
          <w:b w:val="0"/>
          <w:sz w:val="24"/>
          <w:szCs w:val="24"/>
          <w:lang w:eastAsia="zh-CN"/>
        </w:rPr>
        <w:t>Discussion</w:t>
      </w:r>
    </w:p>
    <w:p w14:paraId="64DC4224" w14:textId="77777777" w:rsidR="00571C34" w:rsidRDefault="00571C34">
      <w:pPr>
        <w:pStyle w:val="af2"/>
        <w:tabs>
          <w:tab w:val="left" w:pos="2160"/>
        </w:tabs>
        <w:spacing w:after="120"/>
        <w:jc w:val="both"/>
        <w:rPr>
          <w:rFonts w:hint="eastAsia"/>
          <w:sz w:val="20"/>
          <w:lang w:eastAsia="zh-CN"/>
        </w:rPr>
      </w:pPr>
      <w:r>
        <w:rPr>
          <w:rFonts w:hint="eastAsia"/>
          <w:sz w:val="20"/>
          <w:lang w:eastAsia="zh-CN"/>
        </w:rPr>
        <w:t xml:space="preserve"> </w:t>
      </w:r>
    </w:p>
    <w:p w14:paraId="70E2401C" w14:textId="77777777" w:rsidR="00571C34" w:rsidRDefault="00571C34">
      <w:pPr>
        <w:pStyle w:val="1"/>
        <w:numPr>
          <w:ilvl w:val="0"/>
          <w:numId w:val="1"/>
        </w:numPr>
        <w:tabs>
          <w:tab w:val="left" w:pos="420"/>
        </w:tabs>
        <w:spacing w:before="0" w:after="120"/>
        <w:rPr>
          <w:rFonts w:hint="eastAsia"/>
          <w:b/>
          <w:sz w:val="28"/>
          <w:szCs w:val="24"/>
          <w:lang w:eastAsia="zh-CN"/>
        </w:rPr>
      </w:pPr>
      <w:r>
        <w:rPr>
          <w:rFonts w:hint="eastAsia"/>
          <w:b/>
          <w:sz w:val="28"/>
          <w:szCs w:val="24"/>
          <w:lang w:eastAsia="zh-CN"/>
        </w:rPr>
        <w:t>Introduction</w:t>
      </w:r>
    </w:p>
    <w:p w14:paraId="32C254A1" w14:textId="77777777" w:rsidR="00C22661" w:rsidRPr="00FA2D97" w:rsidRDefault="001173E7" w:rsidP="000A5BF6">
      <w:pPr>
        <w:ind w:leftChars="20" w:left="40"/>
        <w:jc w:val="both"/>
        <w:rPr>
          <w:rFonts w:eastAsia="等线" w:hint="eastAsia"/>
          <w:lang w:eastAsia="zh-CN"/>
        </w:rPr>
      </w:pPr>
      <w:bookmarkStart w:id="2" w:name="OLE_LINK91"/>
      <w:bookmarkStart w:id="3" w:name="OLE_LINK90"/>
      <w:bookmarkStart w:id="4" w:name="OLE_LINK6"/>
      <w:r>
        <w:rPr>
          <w:rFonts w:eastAsia="等线"/>
          <w:lang w:eastAsia="zh-CN"/>
        </w:rPr>
        <w:t>Regarding</w:t>
      </w:r>
      <w:r w:rsidR="000A5BF6">
        <w:rPr>
          <w:rFonts w:eastAsia="等线"/>
          <w:lang w:eastAsia="zh-CN"/>
        </w:rPr>
        <w:t xml:space="preserve"> the discussion on introduction of PC1.5 TDD intra-band CA, the agreements and open issues of last meeting were captured in the WF [1],</w:t>
      </w:r>
      <w:r w:rsidR="000A5BF6">
        <w:rPr>
          <w:rFonts w:eastAsia="等线" w:hint="eastAsia"/>
          <w:lang w:eastAsia="zh-CN"/>
        </w:rPr>
        <w:t xml:space="preserve"> </w:t>
      </w:r>
      <w:r w:rsidR="000A5BF6">
        <w:rPr>
          <w:rFonts w:eastAsia="等线"/>
          <w:lang w:eastAsia="zh-CN"/>
        </w:rPr>
        <w:t>this contribution continues to provide our views based on the WF</w:t>
      </w:r>
      <w:r w:rsidR="00FA2D97">
        <w:rPr>
          <w:szCs w:val="22"/>
          <w:lang w:eastAsia="zh-CN"/>
        </w:rPr>
        <w:t>.</w:t>
      </w:r>
    </w:p>
    <w:bookmarkEnd w:id="2"/>
    <w:bookmarkEnd w:id="3"/>
    <w:bookmarkEnd w:id="4"/>
    <w:p w14:paraId="6435720A" w14:textId="77777777" w:rsidR="00FD239F" w:rsidRDefault="00571C34" w:rsidP="00BB69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7164C365" w14:textId="77777777" w:rsidR="00767160" w:rsidRDefault="00135301" w:rsidP="007D0587">
      <w:pPr>
        <w:rPr>
          <w:lang w:val="en-US" w:eastAsia="zh-CN"/>
        </w:rPr>
      </w:pPr>
      <w:r>
        <w:rPr>
          <w:rFonts w:hint="eastAsia"/>
          <w:lang w:val="en-US" w:eastAsia="zh-CN"/>
        </w:rPr>
        <w:t>I</w:t>
      </w:r>
      <w:r>
        <w:rPr>
          <w:lang w:val="en-US" w:eastAsia="zh-CN"/>
        </w:rPr>
        <w:t xml:space="preserve">n the last meeting, </w:t>
      </w:r>
      <w:r w:rsidR="00261193">
        <w:rPr>
          <w:lang w:val="en-US" w:eastAsia="zh-CN"/>
        </w:rPr>
        <w:t xml:space="preserve">there is </w:t>
      </w:r>
      <w:r w:rsidR="00C60BB0">
        <w:rPr>
          <w:lang w:val="en-US" w:eastAsia="zh-CN"/>
        </w:rPr>
        <w:t>a discussion on MPR evaluation methodology and assumption for PC1.5 intra-band CA.</w:t>
      </w:r>
      <w:r w:rsidR="00C60BB0">
        <w:rPr>
          <w:rFonts w:hint="eastAsia"/>
          <w:lang w:val="en-US" w:eastAsia="zh-CN"/>
        </w:rPr>
        <w:t xml:space="preserve"> </w:t>
      </w:r>
      <w:r w:rsidR="00084390">
        <w:rPr>
          <w:lang w:val="en-US" w:eastAsia="zh-CN"/>
        </w:rPr>
        <w:t>The agreements and open issues listed in the WF</w:t>
      </w:r>
      <w:r w:rsidR="00FA2D97">
        <w:rPr>
          <w:lang w:val="en-US" w:eastAsia="zh-CN"/>
        </w:rPr>
        <w:t xml:space="preserve"> are summarized as follow.</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1F48" w:rsidRPr="00DC643B" w14:paraId="79887F34" w14:textId="77777777" w:rsidTr="00DC643B">
        <w:tc>
          <w:tcPr>
            <w:tcW w:w="9855" w:type="dxa"/>
            <w:shd w:val="clear" w:color="auto" w:fill="auto"/>
          </w:tcPr>
          <w:p w14:paraId="41A8EAC2" w14:textId="77777777" w:rsidR="001D0B9D" w:rsidRPr="001D0B9D" w:rsidRDefault="001D0B9D" w:rsidP="001D0B9D">
            <w:pPr>
              <w:pStyle w:val="2"/>
              <w:rPr>
                <w:rFonts w:ascii="Times New Roman" w:hAnsi="Times New Roman"/>
                <w:sz w:val="20"/>
                <w:lang w:eastAsia="zh-CN"/>
              </w:rPr>
            </w:pPr>
            <w:r w:rsidRPr="001D0B9D">
              <w:rPr>
                <w:rFonts w:ascii="Times New Roman" w:hAnsi="Times New Roman"/>
                <w:sz w:val="20"/>
              </w:rPr>
              <w:t>1.1 MPR evaluation methodology and assumption</w:t>
            </w:r>
          </w:p>
          <w:p w14:paraId="0842F211" w14:textId="77777777" w:rsidR="00CC745E" w:rsidRPr="00CC745E" w:rsidRDefault="00CC745E" w:rsidP="00CC745E">
            <w:pPr>
              <w:rPr>
                <w:rFonts w:eastAsia="等线"/>
                <w:b/>
                <w:bCs/>
              </w:rPr>
            </w:pPr>
            <w:r w:rsidRPr="00CC745E">
              <w:rPr>
                <w:rFonts w:eastAsia="等线"/>
                <w:b/>
                <w:bCs/>
              </w:rPr>
              <w:t xml:space="preserve">Agreement: </w:t>
            </w:r>
          </w:p>
          <w:p w14:paraId="0B4D24A3" w14:textId="77777777" w:rsidR="00CC745E" w:rsidRPr="00CC745E" w:rsidRDefault="00CC745E" w:rsidP="00CC745E">
            <w:pPr>
              <w:pStyle w:val="afc"/>
              <w:numPr>
                <w:ilvl w:val="0"/>
                <w:numId w:val="34"/>
              </w:numPr>
              <w:overflowPunct w:val="0"/>
              <w:autoSpaceDE w:val="0"/>
              <w:autoSpaceDN w:val="0"/>
              <w:adjustRightInd w:val="0"/>
              <w:spacing w:after="180"/>
              <w:ind w:firstLineChars="0"/>
              <w:textAlignment w:val="baseline"/>
              <w:rPr>
                <w:rFonts w:ascii="Times New Roman" w:hAnsi="Times New Roman" w:cs="Times New Roman"/>
                <w:sz w:val="21"/>
                <w:szCs w:val="21"/>
              </w:rPr>
            </w:pPr>
            <w:r w:rsidRPr="00CC745E">
              <w:rPr>
                <w:rFonts w:ascii="Times New Roman" w:hAnsi="Times New Roman" w:cs="Times New Roman"/>
                <w:sz w:val="21"/>
                <w:szCs w:val="21"/>
              </w:rPr>
              <w:t>Keep the following last meeting’s agreement for intra-band non-contiguous ULCA</w:t>
            </w:r>
          </w:p>
          <w:p w14:paraId="29832602" w14:textId="042AE145" w:rsidR="00CC745E" w:rsidRPr="002922C6" w:rsidRDefault="005A383E" w:rsidP="00CC745E">
            <w:pPr>
              <w:pStyle w:val="afc"/>
              <w:ind w:left="420" w:firstLineChars="0" w:firstLine="0"/>
            </w:pPr>
            <w:r w:rsidRPr="00CC745E">
              <w:rPr>
                <w:noProof/>
                <w:bdr w:val="single" w:sz="4" w:space="0" w:color="auto"/>
              </w:rPr>
              <w:drawing>
                <wp:inline distT="0" distB="0" distL="0" distR="0" wp14:anchorId="26645A5A" wp14:editId="0F567DF5">
                  <wp:extent cx="6649720" cy="716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9720" cy="716915"/>
                          </a:xfrm>
                          <a:prstGeom prst="rect">
                            <a:avLst/>
                          </a:prstGeom>
                          <a:noFill/>
                          <a:ln>
                            <a:noFill/>
                          </a:ln>
                        </pic:spPr>
                      </pic:pic>
                    </a:graphicData>
                  </a:graphic>
                </wp:inline>
              </w:drawing>
            </w:r>
          </w:p>
          <w:p w14:paraId="2755D553" w14:textId="77777777" w:rsidR="00CC745E" w:rsidRPr="00CC745E" w:rsidRDefault="00CC745E" w:rsidP="00CC745E">
            <w:pPr>
              <w:pStyle w:val="afc"/>
              <w:numPr>
                <w:ilvl w:val="0"/>
                <w:numId w:val="34"/>
              </w:numPr>
              <w:overflowPunct w:val="0"/>
              <w:autoSpaceDE w:val="0"/>
              <w:autoSpaceDN w:val="0"/>
              <w:adjustRightInd w:val="0"/>
              <w:spacing w:after="180"/>
              <w:ind w:firstLineChars="0"/>
              <w:textAlignment w:val="baseline"/>
              <w:rPr>
                <w:rFonts w:ascii="Times New Roman" w:hAnsi="Times New Roman" w:cs="Times New Roman"/>
                <w:sz w:val="21"/>
                <w:szCs w:val="21"/>
              </w:rPr>
            </w:pPr>
            <w:r w:rsidRPr="00CC745E">
              <w:rPr>
                <w:rFonts w:ascii="Times New Roman" w:hAnsi="Times New Roman" w:cs="Times New Roman"/>
                <w:sz w:val="21"/>
                <w:szCs w:val="21"/>
              </w:rPr>
              <w:t>Define MPR/A-MPR requirements based on equal PSD assumption for intra-band contiguous ULCA</w:t>
            </w:r>
          </w:p>
          <w:p w14:paraId="22E58647" w14:textId="77777777" w:rsidR="00CC745E" w:rsidRPr="00CC745E" w:rsidRDefault="00CC745E" w:rsidP="00CC745E">
            <w:pPr>
              <w:pStyle w:val="afc"/>
              <w:numPr>
                <w:ilvl w:val="1"/>
                <w:numId w:val="34"/>
              </w:numPr>
              <w:overflowPunct w:val="0"/>
              <w:autoSpaceDE w:val="0"/>
              <w:autoSpaceDN w:val="0"/>
              <w:adjustRightInd w:val="0"/>
              <w:spacing w:after="180"/>
              <w:ind w:firstLineChars="0"/>
              <w:textAlignment w:val="baseline"/>
              <w:rPr>
                <w:rFonts w:ascii="Times New Roman" w:eastAsia="等线" w:hAnsi="Times New Roman" w:cs="Times New Roman"/>
                <w:sz w:val="21"/>
                <w:szCs w:val="21"/>
              </w:rPr>
            </w:pPr>
            <w:r w:rsidRPr="00CC745E">
              <w:rPr>
                <w:rFonts w:ascii="Times New Roman" w:eastAsia="等线" w:hAnsi="Times New Roman" w:cs="Times New Roman"/>
                <w:sz w:val="21"/>
                <w:szCs w:val="21"/>
              </w:rPr>
              <w:t>It does not preclude companies to bring evaluation for unequal PSD</w:t>
            </w:r>
          </w:p>
          <w:p w14:paraId="5A5D2350" w14:textId="77777777" w:rsidR="00CC745E" w:rsidRPr="00CC745E" w:rsidRDefault="00CC745E" w:rsidP="00CC745E">
            <w:pPr>
              <w:pStyle w:val="afc"/>
              <w:numPr>
                <w:ilvl w:val="0"/>
                <w:numId w:val="34"/>
              </w:numPr>
              <w:overflowPunct w:val="0"/>
              <w:autoSpaceDE w:val="0"/>
              <w:autoSpaceDN w:val="0"/>
              <w:adjustRightInd w:val="0"/>
              <w:spacing w:after="180"/>
              <w:ind w:firstLineChars="0"/>
              <w:textAlignment w:val="baseline"/>
              <w:rPr>
                <w:rFonts w:ascii="Times New Roman" w:hAnsi="Times New Roman" w:cs="Times New Roman"/>
                <w:sz w:val="21"/>
                <w:szCs w:val="21"/>
              </w:rPr>
            </w:pPr>
            <w:r w:rsidRPr="00CC745E">
              <w:rPr>
                <w:rFonts w:ascii="Times New Roman" w:hAnsi="Times New Roman" w:cs="Times New Roman"/>
                <w:sz w:val="21"/>
                <w:szCs w:val="21"/>
              </w:rPr>
              <w:t>MPRc = MPR, which means no change of spec</w:t>
            </w:r>
          </w:p>
          <w:p w14:paraId="4220A5E1" w14:textId="77777777" w:rsidR="00CC745E" w:rsidRPr="00A67239" w:rsidRDefault="00CC745E" w:rsidP="00EA65C7">
            <w:pPr>
              <w:pStyle w:val="afc"/>
              <w:widowControl w:val="0"/>
              <w:ind w:firstLineChars="0" w:firstLine="0"/>
              <w:jc w:val="both"/>
              <w:rPr>
                <w:rFonts w:ascii="Times New Roman" w:hAnsi="Times New Roman" w:cs="Times New Roman" w:hint="eastAsia"/>
                <w:sz w:val="20"/>
                <w:szCs w:val="20"/>
              </w:rPr>
            </w:pPr>
          </w:p>
        </w:tc>
      </w:tr>
    </w:tbl>
    <w:p w14:paraId="0484DF43" w14:textId="77777777" w:rsidR="00767160" w:rsidRDefault="00767160" w:rsidP="007D0587">
      <w:pPr>
        <w:rPr>
          <w:b/>
          <w:bCs/>
          <w:lang w:val="en-US" w:eastAsia="zh-CN"/>
        </w:rPr>
      </w:pPr>
    </w:p>
    <w:p w14:paraId="7875BA12" w14:textId="77777777" w:rsidR="00411CE8" w:rsidRDefault="0021722F" w:rsidP="007D0587">
      <w:pPr>
        <w:rPr>
          <w:sz w:val="21"/>
          <w:szCs w:val="21"/>
        </w:rPr>
      </w:pPr>
      <w:r>
        <w:rPr>
          <w:lang w:val="en-US" w:eastAsia="zh-CN"/>
        </w:rPr>
        <w:t xml:space="preserve">According to the above WF, it was </w:t>
      </w:r>
      <w:r w:rsidR="00C827EB">
        <w:rPr>
          <w:lang w:val="en-US" w:eastAsia="zh-CN"/>
        </w:rPr>
        <w:t xml:space="preserve">already </w:t>
      </w:r>
      <w:r>
        <w:rPr>
          <w:lang w:val="en-US" w:eastAsia="zh-CN"/>
        </w:rPr>
        <w:t xml:space="preserve">agreed </w:t>
      </w:r>
      <w:r w:rsidR="00C827EB">
        <w:rPr>
          <w:lang w:val="en-US" w:eastAsia="zh-CN"/>
        </w:rPr>
        <w:t xml:space="preserve">that </w:t>
      </w:r>
      <w:r w:rsidRPr="00CC745E">
        <w:rPr>
          <w:sz w:val="21"/>
          <w:szCs w:val="21"/>
        </w:rPr>
        <w:t>MPR/A-MPR requirements</w:t>
      </w:r>
      <w:r>
        <w:rPr>
          <w:sz w:val="21"/>
          <w:szCs w:val="21"/>
        </w:rPr>
        <w:t xml:space="preserve"> are defined</w:t>
      </w:r>
      <w:r w:rsidRPr="00CC745E">
        <w:rPr>
          <w:sz w:val="21"/>
          <w:szCs w:val="21"/>
        </w:rPr>
        <w:t xml:space="preserve"> based on equal PSD assumption for intra-band contiguous ULCA</w:t>
      </w:r>
      <w:r>
        <w:rPr>
          <w:sz w:val="21"/>
          <w:szCs w:val="21"/>
        </w:rPr>
        <w:t xml:space="preserve">. However, whether the PSD imbalance shall be considered for intra-band </w:t>
      </w:r>
      <w:r w:rsidR="008A2849">
        <w:rPr>
          <w:sz w:val="21"/>
          <w:szCs w:val="21"/>
        </w:rPr>
        <w:t>non-contiguous CA is still FFS.</w:t>
      </w:r>
      <w:r w:rsidR="00407153">
        <w:rPr>
          <w:sz w:val="21"/>
          <w:szCs w:val="21"/>
        </w:rPr>
        <w:t xml:space="preserve"> From our perspective, there are at least two issues needs to be clarified before introducing PSD imbalance to MPR requirements. </w:t>
      </w:r>
    </w:p>
    <w:p w14:paraId="57702F3C" w14:textId="77777777" w:rsidR="00411CE8" w:rsidRDefault="00407153" w:rsidP="007D0587">
      <w:pPr>
        <w:rPr>
          <w:sz w:val="21"/>
          <w:szCs w:val="21"/>
        </w:rPr>
      </w:pPr>
      <w:r>
        <w:rPr>
          <w:sz w:val="21"/>
          <w:szCs w:val="21"/>
        </w:rPr>
        <w:t>One is about what the maximum PSD imbalance is. If</w:t>
      </w:r>
      <w:r w:rsidRPr="00407153">
        <w:rPr>
          <w:sz w:val="21"/>
          <w:szCs w:val="21"/>
        </w:rPr>
        <w:t xml:space="preserve"> the extreme configuration where one carrier could be at 100 MHz with full allocation (273RB at 30kHz SCS) while the other carrier is only allocated with 1RB</w:t>
      </w:r>
      <w:r>
        <w:rPr>
          <w:sz w:val="21"/>
          <w:szCs w:val="21"/>
        </w:rPr>
        <w:t xml:space="preserve"> is considered</w:t>
      </w:r>
      <w:r w:rsidRPr="00407153">
        <w:rPr>
          <w:sz w:val="21"/>
          <w:szCs w:val="21"/>
        </w:rPr>
        <w:t>, the PSD imbalance could be as high as 10*log10(273/1) dB = 24.4 dB</w:t>
      </w:r>
      <w:r>
        <w:rPr>
          <w:sz w:val="21"/>
          <w:szCs w:val="21"/>
        </w:rPr>
        <w:t>.</w:t>
      </w:r>
      <w:r w:rsidR="006E2158">
        <w:rPr>
          <w:sz w:val="21"/>
          <w:szCs w:val="21"/>
        </w:rPr>
        <w:t xml:space="preserve"> However, i</w:t>
      </w:r>
      <w:r>
        <w:rPr>
          <w:sz w:val="21"/>
          <w:szCs w:val="21"/>
        </w:rPr>
        <w:t xml:space="preserve">n above WF, it seems 6dB is considered as the maximum PSD imbalance. We think </w:t>
      </w:r>
      <w:r w:rsidR="00651528">
        <w:rPr>
          <w:sz w:val="21"/>
          <w:szCs w:val="21"/>
        </w:rPr>
        <w:t xml:space="preserve">it is necessary to clarify the reason </w:t>
      </w:r>
      <w:r w:rsidR="006E2158">
        <w:rPr>
          <w:sz w:val="21"/>
          <w:szCs w:val="21"/>
        </w:rPr>
        <w:t xml:space="preserve">why above assumption is considered. </w:t>
      </w:r>
    </w:p>
    <w:p w14:paraId="05D103D1" w14:textId="77777777" w:rsidR="00411CE8" w:rsidRDefault="00411CE8" w:rsidP="00411CE8">
      <w:pPr>
        <w:rPr>
          <w:b/>
          <w:bCs/>
          <w:sz w:val="21"/>
          <w:szCs w:val="21"/>
        </w:rPr>
      </w:pPr>
      <w:r w:rsidRPr="001E2799">
        <w:rPr>
          <w:b/>
          <w:bCs/>
          <w:sz w:val="21"/>
          <w:szCs w:val="21"/>
        </w:rPr>
        <w:t>Observation 1: the maximum PSD imbalance can be 24.4dB</w:t>
      </w:r>
      <w:r>
        <w:rPr>
          <w:b/>
          <w:bCs/>
          <w:sz w:val="21"/>
          <w:szCs w:val="21"/>
        </w:rPr>
        <w:t xml:space="preserve"> if the extreme configuration is considered.</w:t>
      </w:r>
    </w:p>
    <w:p w14:paraId="3E8C156F" w14:textId="77777777" w:rsidR="00411CE8" w:rsidRDefault="00411CE8" w:rsidP="00411CE8">
      <w:pPr>
        <w:rPr>
          <w:b/>
          <w:bCs/>
          <w:sz w:val="21"/>
          <w:szCs w:val="21"/>
          <w:lang w:eastAsia="zh-CN"/>
        </w:rPr>
      </w:pPr>
      <w:r>
        <w:rPr>
          <w:rFonts w:hint="eastAsia"/>
          <w:b/>
          <w:bCs/>
          <w:sz w:val="21"/>
          <w:szCs w:val="21"/>
          <w:lang w:eastAsia="zh-CN"/>
        </w:rPr>
        <w:t>O</w:t>
      </w:r>
      <w:r>
        <w:rPr>
          <w:b/>
          <w:bCs/>
          <w:sz w:val="21"/>
          <w:szCs w:val="21"/>
          <w:lang w:eastAsia="zh-CN"/>
        </w:rPr>
        <w:t>bservation 2: the reason of the assumption of 6dB PSD imbalance needs to be clarified.</w:t>
      </w:r>
    </w:p>
    <w:p w14:paraId="1F1F191F" w14:textId="77777777" w:rsidR="00407153" w:rsidRPr="00A85D51" w:rsidRDefault="006E2158" w:rsidP="007D0587">
      <w:pPr>
        <w:rPr>
          <w:sz w:val="21"/>
          <w:szCs w:val="21"/>
        </w:rPr>
      </w:pPr>
      <w:r>
        <w:rPr>
          <w:sz w:val="21"/>
          <w:szCs w:val="21"/>
        </w:rPr>
        <w:t xml:space="preserve">The other is about </w:t>
      </w:r>
      <w:r w:rsidR="00EA65C7">
        <w:rPr>
          <w:sz w:val="21"/>
          <w:szCs w:val="21"/>
        </w:rPr>
        <w:t xml:space="preserve">the </w:t>
      </w:r>
      <w:r>
        <w:rPr>
          <w:sz w:val="21"/>
          <w:szCs w:val="21"/>
        </w:rPr>
        <w:t xml:space="preserve">impact </w:t>
      </w:r>
      <w:r w:rsidR="00EA65C7">
        <w:rPr>
          <w:sz w:val="21"/>
          <w:szCs w:val="21"/>
        </w:rPr>
        <w:t xml:space="preserve">on </w:t>
      </w:r>
      <w:r w:rsidR="00EA65C7" w:rsidRPr="00CC745E">
        <w:rPr>
          <w:sz w:val="21"/>
          <w:szCs w:val="21"/>
        </w:rPr>
        <w:t>MPR/A-MPR</w:t>
      </w:r>
      <w:r w:rsidR="00EA65C7">
        <w:rPr>
          <w:sz w:val="21"/>
          <w:szCs w:val="21"/>
        </w:rPr>
        <w:t xml:space="preserve"> </w:t>
      </w:r>
      <w:r>
        <w:rPr>
          <w:sz w:val="21"/>
          <w:szCs w:val="21"/>
        </w:rPr>
        <w:t>due to PSD imbalance.</w:t>
      </w:r>
      <w:r w:rsidR="00EA65C7">
        <w:rPr>
          <w:sz w:val="21"/>
          <w:szCs w:val="21"/>
        </w:rPr>
        <w:t xml:space="preserve"> </w:t>
      </w:r>
      <w:r w:rsidR="003834CC">
        <w:rPr>
          <w:sz w:val="21"/>
          <w:szCs w:val="21"/>
        </w:rPr>
        <w:t xml:space="preserve">In previous discussion, to be safe, there is an option that </w:t>
      </w:r>
      <w:r w:rsidR="003834CC" w:rsidRPr="003834CC">
        <w:rPr>
          <w:lang w:eastAsia="zh-CN"/>
        </w:rPr>
        <w:t>defining MPR requirements based on worst case</w:t>
      </w:r>
      <w:r w:rsidR="003834CC">
        <w:rPr>
          <w:lang w:eastAsia="zh-CN"/>
        </w:rPr>
        <w:t xml:space="preserve">. However, </w:t>
      </w:r>
      <w:r w:rsidR="003834CC">
        <w:rPr>
          <w:sz w:val="21"/>
          <w:szCs w:val="21"/>
        </w:rPr>
        <w:t>a</w:t>
      </w:r>
      <w:r w:rsidR="00A85D51">
        <w:rPr>
          <w:sz w:val="21"/>
          <w:szCs w:val="21"/>
        </w:rPr>
        <w:t xml:space="preserve">s </w:t>
      </w:r>
      <w:r w:rsidR="003834CC">
        <w:rPr>
          <w:sz w:val="21"/>
          <w:szCs w:val="21"/>
        </w:rPr>
        <w:t>pointed out</w:t>
      </w:r>
      <w:r w:rsidR="00A85D51">
        <w:rPr>
          <w:sz w:val="21"/>
          <w:szCs w:val="21"/>
        </w:rPr>
        <w:t xml:space="preserve"> in our contribution [2], </w:t>
      </w:r>
      <w:r w:rsidR="00E5165D">
        <w:rPr>
          <w:sz w:val="21"/>
          <w:szCs w:val="21"/>
        </w:rPr>
        <w:t>t</w:t>
      </w:r>
      <w:r w:rsidR="00A85D51" w:rsidRPr="00A85D51">
        <w:rPr>
          <w:sz w:val="21"/>
          <w:szCs w:val="21"/>
        </w:rPr>
        <w:t>he impact of PSD imbalance on MPR is very</w:t>
      </w:r>
      <w:r w:rsidR="00E5165D">
        <w:rPr>
          <w:sz w:val="21"/>
          <w:szCs w:val="21"/>
        </w:rPr>
        <w:t xml:space="preserve"> </w:t>
      </w:r>
      <w:r w:rsidR="00A85D51">
        <w:rPr>
          <w:sz w:val="21"/>
          <w:szCs w:val="21"/>
        </w:rPr>
        <w:t>is very complicated</w:t>
      </w:r>
      <w:r w:rsidR="00E5165D">
        <w:rPr>
          <w:sz w:val="21"/>
          <w:szCs w:val="21"/>
        </w:rPr>
        <w:t>. e.g., i</w:t>
      </w:r>
      <w:r w:rsidR="00A85D51" w:rsidRPr="00A85D51">
        <w:rPr>
          <w:sz w:val="21"/>
          <w:szCs w:val="21"/>
        </w:rPr>
        <w:t>n some RB allocation areas, the larger the PSD offset, the larger the MPR, but in other RB allocation areas, the situation may be opposite.</w:t>
      </w:r>
      <w:r w:rsidR="00E5165D" w:rsidRPr="00E5165D">
        <w:rPr>
          <w:sz w:val="21"/>
          <w:szCs w:val="21"/>
        </w:rPr>
        <w:t xml:space="preserve"> </w:t>
      </w:r>
      <w:r w:rsidR="00E5165D">
        <w:rPr>
          <w:sz w:val="21"/>
          <w:szCs w:val="21"/>
        </w:rPr>
        <w:t xml:space="preserve">it is hard to get a </w:t>
      </w:r>
      <w:r w:rsidR="00E5165D" w:rsidRPr="00E5165D">
        <w:rPr>
          <w:sz w:val="21"/>
          <w:szCs w:val="21"/>
        </w:rPr>
        <w:lastRenderedPageBreak/>
        <w:t xml:space="preserve">quantitative relationship between PSD </w:t>
      </w:r>
      <w:r w:rsidR="00E5165D">
        <w:rPr>
          <w:sz w:val="21"/>
          <w:szCs w:val="21"/>
        </w:rPr>
        <w:t xml:space="preserve">imbalance </w:t>
      </w:r>
      <w:r w:rsidR="00E5165D" w:rsidRPr="00E5165D">
        <w:rPr>
          <w:sz w:val="21"/>
          <w:szCs w:val="21"/>
        </w:rPr>
        <w:t>and MPR</w:t>
      </w:r>
      <w:r w:rsidR="00E5165D">
        <w:rPr>
          <w:sz w:val="21"/>
          <w:szCs w:val="21"/>
        </w:rPr>
        <w:t xml:space="preserve"> value</w:t>
      </w:r>
      <w:r w:rsidR="00411CE8">
        <w:rPr>
          <w:sz w:val="21"/>
          <w:szCs w:val="21"/>
        </w:rPr>
        <w:t>.</w:t>
      </w:r>
      <w:r w:rsidR="003834CC">
        <w:rPr>
          <w:sz w:val="21"/>
          <w:szCs w:val="21"/>
        </w:rPr>
        <w:t xml:space="preserve"> Consequently, </w:t>
      </w:r>
      <w:r w:rsidR="003834CC" w:rsidRPr="003834CC">
        <w:rPr>
          <w:lang w:eastAsia="zh-CN"/>
        </w:rPr>
        <w:t xml:space="preserve">it is hard to get </w:t>
      </w:r>
      <w:r w:rsidR="003834CC">
        <w:rPr>
          <w:lang w:eastAsia="zh-CN"/>
        </w:rPr>
        <w:t>the</w:t>
      </w:r>
      <w:r w:rsidR="003834CC" w:rsidRPr="003834CC">
        <w:rPr>
          <w:lang w:eastAsia="zh-CN"/>
        </w:rPr>
        <w:t xml:space="preserve"> worst case</w:t>
      </w:r>
      <w:r w:rsidR="003834CC">
        <w:rPr>
          <w:lang w:eastAsia="zh-CN"/>
        </w:rPr>
        <w:t xml:space="preserve"> if </w:t>
      </w:r>
      <w:r w:rsidR="00026E46">
        <w:rPr>
          <w:lang w:eastAsia="zh-CN"/>
        </w:rPr>
        <w:t xml:space="preserve">also </w:t>
      </w:r>
      <w:r w:rsidR="003834CC">
        <w:rPr>
          <w:lang w:eastAsia="zh-CN"/>
        </w:rPr>
        <w:t>different bandwidth combination configurations and different PSD imbalance are considered.</w:t>
      </w:r>
    </w:p>
    <w:p w14:paraId="07136CEB" w14:textId="77777777" w:rsidR="00A85D51" w:rsidRDefault="00A85D51" w:rsidP="007D0587">
      <w:pPr>
        <w:rPr>
          <w:b/>
          <w:bCs/>
          <w:sz w:val="21"/>
          <w:szCs w:val="21"/>
        </w:rPr>
      </w:pPr>
      <w:r>
        <w:rPr>
          <w:rFonts w:hint="eastAsia"/>
          <w:b/>
          <w:bCs/>
          <w:sz w:val="21"/>
          <w:szCs w:val="21"/>
          <w:lang w:eastAsia="zh-CN"/>
        </w:rPr>
        <w:t>O</w:t>
      </w:r>
      <w:r>
        <w:rPr>
          <w:b/>
          <w:bCs/>
          <w:sz w:val="21"/>
          <w:szCs w:val="21"/>
          <w:lang w:eastAsia="zh-CN"/>
        </w:rPr>
        <w:t>bserva</w:t>
      </w:r>
      <w:r w:rsidRPr="00A85D51">
        <w:rPr>
          <w:b/>
          <w:bCs/>
          <w:sz w:val="21"/>
          <w:szCs w:val="21"/>
          <w:lang w:eastAsia="zh-CN"/>
        </w:rPr>
        <w:t xml:space="preserve">tion 3: </w:t>
      </w:r>
      <w:r w:rsidRPr="00A85D51">
        <w:rPr>
          <w:b/>
          <w:bCs/>
          <w:sz w:val="21"/>
          <w:szCs w:val="21"/>
        </w:rPr>
        <w:t>The impact of PSD imbalance on MPR is very complicated. In some RB allocation areas, the larger the PSD offset, the larger the MPR, but in other RB allocation areas, the situation may be opposite.</w:t>
      </w:r>
    </w:p>
    <w:p w14:paraId="0F461EC2" w14:textId="77777777" w:rsidR="003834CC" w:rsidRDefault="00026E46" w:rsidP="007D0587">
      <w:pPr>
        <w:rPr>
          <w:b/>
          <w:bCs/>
          <w:lang w:eastAsia="zh-CN"/>
        </w:rPr>
      </w:pPr>
      <w:r w:rsidRPr="00026E46">
        <w:rPr>
          <w:rFonts w:hint="eastAsia"/>
          <w:b/>
          <w:bCs/>
          <w:sz w:val="21"/>
          <w:szCs w:val="21"/>
          <w:lang w:eastAsia="zh-CN"/>
        </w:rPr>
        <w:t>O</w:t>
      </w:r>
      <w:r w:rsidRPr="00026E46">
        <w:rPr>
          <w:b/>
          <w:bCs/>
          <w:sz w:val="21"/>
          <w:szCs w:val="21"/>
          <w:lang w:eastAsia="zh-CN"/>
        </w:rPr>
        <w:t xml:space="preserve">bservation 4: </w:t>
      </w:r>
      <w:r w:rsidRPr="00026E46">
        <w:rPr>
          <w:b/>
          <w:bCs/>
          <w:lang w:eastAsia="zh-CN"/>
        </w:rPr>
        <w:t>it is hard to get the worst case if also different bandwidth combination configurations and different PSD imbalance are considered.</w:t>
      </w:r>
    </w:p>
    <w:p w14:paraId="1016B279" w14:textId="77777777" w:rsidR="00411CE8" w:rsidRDefault="00411CE8" w:rsidP="00411CE8">
      <w:pPr>
        <w:rPr>
          <w:lang w:eastAsia="zh-CN"/>
        </w:rPr>
      </w:pPr>
      <w:r>
        <w:rPr>
          <w:lang w:eastAsia="zh-CN"/>
        </w:rPr>
        <w:t xml:space="preserve">Therefore, we think defining MPR requirements should be from the perspective of typical scenario in the field other than from the perspective of worst case. For intra-band CA, the typical scenario is that PSD offset is not that much. Therefore, it is reasonable to still assume equal PSD when deriving MPR requirements for PC1.5 intra-band CA. Moreover, this assumption is more </w:t>
      </w:r>
      <w:r w:rsidRPr="00B233AB">
        <w:rPr>
          <w:lang w:eastAsia="zh-CN"/>
        </w:rPr>
        <w:t>convenient for conformance testing</w:t>
      </w:r>
      <w:r>
        <w:rPr>
          <w:lang w:eastAsia="zh-CN"/>
        </w:rPr>
        <w:t>.</w:t>
      </w:r>
    </w:p>
    <w:p w14:paraId="51C9960F" w14:textId="77777777" w:rsidR="00B233AB" w:rsidRPr="00C74E8C" w:rsidRDefault="00B233AB" w:rsidP="007D0587">
      <w:pPr>
        <w:rPr>
          <w:rFonts w:hint="eastAsia"/>
          <w:lang w:eastAsia="zh-CN"/>
        </w:rPr>
      </w:pPr>
      <w:r>
        <w:rPr>
          <w:rFonts w:hint="eastAsia"/>
          <w:lang w:eastAsia="zh-CN"/>
        </w:rPr>
        <w:t>I</w:t>
      </w:r>
      <w:r>
        <w:rPr>
          <w:lang w:eastAsia="zh-CN"/>
        </w:rPr>
        <w:t>n view of above, we give the following proposal.</w:t>
      </w:r>
    </w:p>
    <w:p w14:paraId="3D8EAFF1" w14:textId="77777777" w:rsidR="00C2179B" w:rsidRDefault="00A320F2" w:rsidP="00857FC9">
      <w:pPr>
        <w:rPr>
          <w:b/>
          <w:bCs/>
          <w:lang w:val="en-US" w:eastAsia="zh-CN"/>
        </w:rPr>
      </w:pPr>
      <w:r>
        <w:rPr>
          <w:b/>
          <w:bCs/>
          <w:lang w:val="en-US" w:eastAsia="zh-CN"/>
        </w:rPr>
        <w:t xml:space="preserve">Proposal 1: define MPR requirements for PC1.5 intra-band NC CA </w:t>
      </w:r>
      <w:r w:rsidR="00026E46">
        <w:rPr>
          <w:b/>
          <w:bCs/>
          <w:lang w:val="en-US" w:eastAsia="zh-CN"/>
        </w:rPr>
        <w:t xml:space="preserve">also </w:t>
      </w:r>
      <w:r>
        <w:rPr>
          <w:b/>
          <w:bCs/>
          <w:lang w:val="en-US" w:eastAsia="zh-CN"/>
        </w:rPr>
        <w:t>based on equal PSD</w:t>
      </w:r>
      <w:r w:rsidR="00B233AB">
        <w:rPr>
          <w:b/>
          <w:bCs/>
          <w:lang w:val="en-US" w:eastAsia="zh-CN"/>
        </w:rPr>
        <w:t>.</w:t>
      </w:r>
    </w:p>
    <w:p w14:paraId="26007902" w14:textId="77777777" w:rsidR="00FD35DB" w:rsidRPr="00576896" w:rsidRDefault="00FD35DB" w:rsidP="00857FC9">
      <w:pPr>
        <w:rPr>
          <w:lang w:val="en-US" w:eastAsia="zh-CN"/>
        </w:rPr>
      </w:pPr>
      <w:r w:rsidRPr="00576896">
        <w:rPr>
          <w:rFonts w:hint="eastAsia"/>
          <w:lang w:val="en-US" w:eastAsia="zh-CN"/>
        </w:rPr>
        <w:t>T</w:t>
      </w:r>
      <w:r w:rsidRPr="00576896">
        <w:rPr>
          <w:lang w:val="en-US" w:eastAsia="zh-CN"/>
        </w:rPr>
        <w:t>he other open issue can be found in the below</w:t>
      </w:r>
      <w:r w:rsidR="001C0ADF" w:rsidRPr="00576896">
        <w:rPr>
          <w:lang w:val="en-US"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7359" w:rsidRPr="005641EC" w14:paraId="0BBCB95E" w14:textId="77777777" w:rsidTr="005641EC">
        <w:tc>
          <w:tcPr>
            <w:tcW w:w="9855" w:type="dxa"/>
            <w:shd w:val="clear" w:color="auto" w:fill="auto"/>
          </w:tcPr>
          <w:p w14:paraId="7B2F0E00" w14:textId="77777777" w:rsidR="00FD35DB" w:rsidRPr="00FD35DB" w:rsidRDefault="00FD35DB" w:rsidP="00FD35DB">
            <w:pPr>
              <w:rPr>
                <w:b/>
                <w:bCs/>
                <w:lang w:eastAsia="zh-CN"/>
              </w:rPr>
            </w:pPr>
            <w:r w:rsidRPr="00FD35DB">
              <w:rPr>
                <w:b/>
                <w:bCs/>
                <w:lang w:eastAsia="zh-CN"/>
              </w:rPr>
              <w:t>1.2 P</w:t>
            </w:r>
            <w:r w:rsidRPr="00FD35DB">
              <w:rPr>
                <w:b/>
                <w:bCs/>
                <w:vertAlign w:val="subscript"/>
                <w:lang w:eastAsia="zh-CN"/>
              </w:rPr>
              <w:t xml:space="preserve">CMAX,C </w:t>
            </w:r>
          </w:p>
          <w:p w14:paraId="573912C1" w14:textId="77777777" w:rsidR="00FD35DB" w:rsidRPr="005641EC" w:rsidRDefault="00FD35DB" w:rsidP="005641EC">
            <w:pPr>
              <w:rPr>
                <w:b/>
                <w:bCs/>
                <w:lang w:val="en-US" w:eastAsia="zh-CN"/>
              </w:rPr>
            </w:pPr>
            <w:bookmarkStart w:id="5" w:name="_Hlk175006540"/>
            <w:r w:rsidRPr="005641EC">
              <w:rPr>
                <w:b/>
                <w:bCs/>
                <w:lang w:val="en-US" w:eastAsia="zh-CN"/>
              </w:rPr>
              <w:t xml:space="preserve">Agreement: </w:t>
            </w:r>
          </w:p>
          <w:p w14:paraId="43916096" w14:textId="77777777" w:rsidR="003A43C7" w:rsidRPr="003A43C7" w:rsidRDefault="003A43C7" w:rsidP="003A43C7">
            <w:pPr>
              <w:numPr>
                <w:ilvl w:val="0"/>
                <w:numId w:val="34"/>
              </w:numPr>
              <w:rPr>
                <w:lang w:val="en-US" w:eastAsia="zh-CN"/>
              </w:rPr>
            </w:pPr>
            <w:r w:rsidRPr="003A43C7">
              <w:rPr>
                <w:lang w:val="en-US" w:eastAsia="zh-CN"/>
              </w:rPr>
              <w:t xml:space="preserve">Agreement: </w:t>
            </w:r>
          </w:p>
          <w:p w14:paraId="3B33389A" w14:textId="77777777" w:rsidR="003A43C7" w:rsidRPr="003A43C7" w:rsidRDefault="003A43C7" w:rsidP="003A43C7">
            <w:pPr>
              <w:numPr>
                <w:ilvl w:val="0"/>
                <w:numId w:val="34"/>
              </w:numPr>
              <w:rPr>
                <w:lang w:val="en-US" w:eastAsia="zh-CN"/>
              </w:rPr>
            </w:pPr>
            <w:r w:rsidRPr="003A43C7">
              <w:rPr>
                <w:lang w:val="en-US" w:eastAsia="zh-CN"/>
              </w:rPr>
              <w:t>For a contiguous intra-band combination with PC1.5 capability supporting by txDiversity-r16</w:t>
            </w:r>
          </w:p>
          <w:p w14:paraId="370F4B2E" w14:textId="77777777" w:rsidR="003A43C7" w:rsidRPr="003A43C7" w:rsidRDefault="003A43C7" w:rsidP="003A43C7">
            <w:pPr>
              <w:numPr>
                <w:ilvl w:val="0"/>
                <w:numId w:val="34"/>
              </w:numPr>
              <w:rPr>
                <w:lang w:val="en-US" w:eastAsia="zh-CN"/>
              </w:rPr>
            </w:pPr>
            <w:r w:rsidRPr="003A43C7">
              <w:rPr>
                <w:lang w:val="en-US" w:eastAsia="zh-CN"/>
              </w:rPr>
              <w:t>The PCMAX,f,c and the total configured output power PCMAX for the band combination are given by clause 6.2A.4.1.1 for intra-band contiguous CA in the current version of 38.101-1, no change for PC1.5</w:t>
            </w:r>
          </w:p>
          <w:p w14:paraId="60C3F861" w14:textId="77777777" w:rsidR="003A43C7" w:rsidRPr="003A43C7" w:rsidRDefault="003A43C7" w:rsidP="003A43C7">
            <w:pPr>
              <w:numPr>
                <w:ilvl w:val="0"/>
                <w:numId w:val="34"/>
              </w:numPr>
              <w:rPr>
                <w:lang w:val="en-US" w:eastAsia="zh-CN"/>
              </w:rPr>
            </w:pPr>
            <w:r w:rsidRPr="003A43C7">
              <w:rPr>
                <w:lang w:val="en-US" w:eastAsia="zh-CN"/>
              </w:rPr>
              <w:t>For a non-contiguous intra-band combination with PC1.5 capability supporting dualPA-Architecture</w:t>
            </w:r>
          </w:p>
          <w:p w14:paraId="591C84D1" w14:textId="77777777" w:rsidR="003A43C7" w:rsidRPr="003A43C7" w:rsidRDefault="003A43C7" w:rsidP="003A43C7">
            <w:pPr>
              <w:numPr>
                <w:ilvl w:val="0"/>
                <w:numId w:val="34"/>
              </w:numPr>
              <w:rPr>
                <w:rFonts w:hint="eastAsia"/>
                <w:lang w:val="en-US" w:eastAsia="zh-CN"/>
              </w:rPr>
            </w:pPr>
            <w:r w:rsidRPr="003A43C7">
              <w:rPr>
                <w:lang w:val="en-US" w:eastAsia="zh-CN"/>
              </w:rPr>
              <w:t>For PCMAX,f,c, keep the following last meeting’s agreement, and the detailed wording can be discussed based on the CR in future</w:t>
            </w:r>
          </w:p>
          <w:p w14:paraId="36202F20" w14:textId="77777777" w:rsidR="00FD35DB" w:rsidRPr="003A43C7" w:rsidRDefault="003A43C7" w:rsidP="003A43C7">
            <w:pPr>
              <w:numPr>
                <w:ilvl w:val="0"/>
                <w:numId w:val="34"/>
              </w:numPr>
              <w:rPr>
                <w:rFonts w:hint="eastAsia"/>
                <w:lang w:val="en-US" w:eastAsia="zh-CN"/>
              </w:rPr>
            </w:pPr>
            <w:r w:rsidRPr="003A43C7">
              <w:rPr>
                <w:lang w:val="en-US" w:eastAsia="zh-CN"/>
              </w:rPr>
              <w:t>For PCMAX, FFS</w:t>
            </w:r>
            <w:bookmarkEnd w:id="5"/>
          </w:p>
        </w:tc>
      </w:tr>
    </w:tbl>
    <w:p w14:paraId="621FFD59" w14:textId="77777777" w:rsidR="00FD35DB" w:rsidRPr="00B37359" w:rsidRDefault="00FD35DB" w:rsidP="00857FC9">
      <w:pPr>
        <w:rPr>
          <w:b/>
          <w:bCs/>
          <w:lang w:val="en-US" w:eastAsia="zh-CN"/>
        </w:rPr>
      </w:pPr>
    </w:p>
    <w:p w14:paraId="00473400" w14:textId="77777777" w:rsidR="003559D0" w:rsidRPr="00576896" w:rsidRDefault="001C0ADF" w:rsidP="00857FC9">
      <w:pPr>
        <w:rPr>
          <w:rFonts w:hint="eastAsia"/>
          <w:bCs/>
          <w:lang w:val="en-US" w:eastAsia="zh-CN"/>
        </w:rPr>
      </w:pPr>
      <w:r w:rsidRPr="00B37359">
        <w:rPr>
          <w:lang w:val="en-US" w:eastAsia="zh-CN"/>
        </w:rPr>
        <w:t>From the agreement, the upper bound of Pcmax,c should be limited to 26dBm per CC</w:t>
      </w:r>
      <w:r w:rsidR="00A320F2" w:rsidRPr="00B37359">
        <w:rPr>
          <w:lang w:val="en-US" w:eastAsia="zh-CN"/>
        </w:rPr>
        <w:t xml:space="preserve"> for intra-band UL NC CA</w:t>
      </w:r>
      <w:r w:rsidR="00B37359">
        <w:rPr>
          <w:lang w:val="en-US" w:eastAsia="zh-CN"/>
        </w:rPr>
        <w:t xml:space="preserve"> with </w:t>
      </w:r>
      <w:r w:rsidR="00B37359" w:rsidRPr="00B37359">
        <w:rPr>
          <w:lang w:val="en-US" w:eastAsia="zh-CN"/>
        </w:rPr>
        <w:t>dualPA-architecture</w:t>
      </w:r>
      <w:r w:rsidR="00DA0137" w:rsidRPr="00B37359">
        <w:rPr>
          <w:lang w:val="en-US" w:eastAsia="zh-CN"/>
        </w:rPr>
        <w:t>.</w:t>
      </w:r>
      <w:r w:rsidR="003559D0" w:rsidRPr="00B37359">
        <w:rPr>
          <w:lang w:val="en-US" w:eastAsia="zh-CN"/>
        </w:rPr>
        <w:t xml:space="preserve"> From our perspective, current spec doesn’t reflect this agreement.</w:t>
      </w:r>
      <w:r w:rsidR="00B37359">
        <w:rPr>
          <w:lang w:val="en-US" w:eastAsia="zh-CN"/>
        </w:rPr>
        <w:t xml:space="preserve"> Thus, spec need</w:t>
      </w:r>
      <w:r w:rsidR="00576896">
        <w:rPr>
          <w:lang w:val="en-US" w:eastAsia="zh-CN"/>
        </w:rPr>
        <w:t>s</w:t>
      </w:r>
      <w:r w:rsidR="00B37359">
        <w:rPr>
          <w:lang w:val="en-US" w:eastAsia="zh-CN"/>
        </w:rPr>
        <w:t xml:space="preserve"> to be updated accordingly. The following </w:t>
      </w:r>
      <w:r w:rsidR="00576896">
        <w:rPr>
          <w:lang w:val="en-US" w:eastAsia="zh-CN"/>
        </w:rPr>
        <w:t>changes could be as a reference.</w:t>
      </w:r>
    </w:p>
    <w:p w14:paraId="46A2905C" w14:textId="77777777" w:rsidR="003559D0" w:rsidRPr="00B37359" w:rsidRDefault="003559D0" w:rsidP="003559D0">
      <w:pPr>
        <w:pStyle w:val="5"/>
        <w:rPr>
          <w:i/>
          <w:iCs/>
        </w:rPr>
      </w:pPr>
      <w:bookmarkStart w:id="6" w:name="_Toc61367364"/>
      <w:bookmarkStart w:id="7" w:name="_Toc61372747"/>
      <w:bookmarkStart w:id="8" w:name="_Toc68230688"/>
      <w:bookmarkStart w:id="9" w:name="_Toc69084101"/>
      <w:bookmarkStart w:id="10" w:name="_Toc75467110"/>
      <w:bookmarkStart w:id="11" w:name="_Toc76509132"/>
      <w:bookmarkStart w:id="12" w:name="_Toc76718122"/>
      <w:bookmarkStart w:id="13" w:name="_Toc83580432"/>
      <w:bookmarkStart w:id="14" w:name="_Toc84404941"/>
      <w:bookmarkStart w:id="15" w:name="_Toc84413550"/>
      <w:r w:rsidRPr="00B37359">
        <w:rPr>
          <w:i/>
          <w:iCs/>
        </w:rPr>
        <w:t>6.2A.4.1.2</w:t>
      </w:r>
      <w:r w:rsidRPr="00B37359">
        <w:rPr>
          <w:i/>
          <w:iCs/>
        </w:rPr>
        <w:tab/>
        <w:t>Configured transmitted power for Intra-band non-contiguous CA</w:t>
      </w:r>
      <w:bookmarkEnd w:id="6"/>
      <w:bookmarkEnd w:id="7"/>
      <w:bookmarkEnd w:id="8"/>
      <w:bookmarkEnd w:id="9"/>
      <w:bookmarkEnd w:id="10"/>
      <w:bookmarkEnd w:id="11"/>
      <w:bookmarkEnd w:id="12"/>
      <w:bookmarkEnd w:id="13"/>
      <w:bookmarkEnd w:id="14"/>
      <w:bookmarkEnd w:id="15"/>
    </w:p>
    <w:p w14:paraId="6588E147" w14:textId="77777777" w:rsidR="003559D0" w:rsidRPr="00B37359" w:rsidRDefault="003559D0" w:rsidP="003559D0">
      <w:pPr>
        <w:rPr>
          <w:i/>
          <w:iCs/>
        </w:rPr>
      </w:pPr>
      <w:r w:rsidRPr="00B37359">
        <w:rPr>
          <w:i/>
          <w:iCs/>
        </w:rPr>
        <w:t xml:space="preserve">For uplink carrier aggregation the UE is allowed to set its configured maximum output power </w:t>
      </w:r>
      <w:r w:rsidRPr="00B37359">
        <w:rPr>
          <w:rFonts w:cs="Vrinda"/>
          <w:i/>
          <w:iCs/>
          <w:lang w:bidi="bn-IN"/>
        </w:rPr>
        <w:t>P</w:t>
      </w:r>
      <w:r w:rsidRPr="00B37359">
        <w:rPr>
          <w:rFonts w:cs="Vrinda"/>
          <w:i/>
          <w:iCs/>
          <w:vertAlign w:val="subscript"/>
          <w:lang w:bidi="bn-IN"/>
        </w:rPr>
        <w:t>CMAX</w:t>
      </w:r>
      <w:r w:rsidRPr="00B37359">
        <w:rPr>
          <w:rFonts w:hint="eastAsia"/>
          <w:i/>
          <w:iCs/>
          <w:vertAlign w:val="subscript"/>
        </w:rPr>
        <w:t>,</w:t>
      </w:r>
      <w:r w:rsidRPr="00B37359">
        <w:rPr>
          <w:i/>
          <w:iCs/>
          <w:vertAlign w:val="subscript"/>
        </w:rPr>
        <w:t>c</w:t>
      </w:r>
      <w:r w:rsidRPr="00B37359">
        <w:rPr>
          <w:i/>
          <w:iCs/>
        </w:rPr>
        <w:t xml:space="preserve"> </w:t>
      </w:r>
      <w:r w:rsidRPr="00B37359">
        <w:rPr>
          <w:i/>
          <w:iCs/>
          <w:lang w:eastAsia="zh-CN"/>
        </w:rPr>
        <w:t>for</w:t>
      </w:r>
      <w:r w:rsidRPr="00B37359">
        <w:rPr>
          <w:rFonts w:hint="eastAsia"/>
          <w:i/>
          <w:iCs/>
        </w:rPr>
        <w:t xml:space="preserve"> </w:t>
      </w:r>
      <w:r w:rsidRPr="00B37359">
        <w:rPr>
          <w:i/>
          <w:iCs/>
        </w:rPr>
        <w:t>serving cell</w:t>
      </w:r>
      <w:r w:rsidRPr="00B37359">
        <w:rPr>
          <w:rFonts w:hint="eastAsia"/>
          <w:i/>
          <w:iCs/>
        </w:rPr>
        <w:t xml:space="preserve"> </w:t>
      </w:r>
      <w:r w:rsidRPr="00B37359">
        <w:rPr>
          <w:i/>
          <w:iCs/>
        </w:rPr>
        <w:t xml:space="preserve">c and its total configured maximum output power </w:t>
      </w:r>
      <w:r w:rsidRPr="00B37359">
        <w:rPr>
          <w:rFonts w:cs="Vrinda"/>
          <w:i/>
          <w:iCs/>
          <w:lang w:bidi="bn-IN"/>
        </w:rPr>
        <w:t>P</w:t>
      </w:r>
      <w:r w:rsidRPr="00B37359">
        <w:rPr>
          <w:rFonts w:cs="Vrinda"/>
          <w:i/>
          <w:iCs/>
          <w:vertAlign w:val="subscript"/>
          <w:lang w:bidi="bn-IN"/>
        </w:rPr>
        <w:t>CMAX</w:t>
      </w:r>
      <w:r w:rsidRPr="00B37359">
        <w:rPr>
          <w:i/>
          <w:iCs/>
        </w:rPr>
        <w:t>.</w:t>
      </w:r>
    </w:p>
    <w:p w14:paraId="4F37506F" w14:textId="77777777" w:rsidR="00FD35DB" w:rsidRDefault="003559D0" w:rsidP="00857FC9">
      <w:pPr>
        <w:rPr>
          <w:lang w:val="en-US" w:eastAsia="zh-CN"/>
        </w:rPr>
      </w:pPr>
      <w:r w:rsidRPr="00B37359">
        <w:rPr>
          <w:i/>
          <w:iCs/>
          <w:lang w:eastAsia="zh-CN" w:bidi="bn-IN"/>
        </w:rPr>
        <w:t>T</w:t>
      </w:r>
      <w:r w:rsidRPr="00B37359">
        <w:rPr>
          <w:i/>
          <w:iCs/>
          <w:lang w:bidi="bn-IN"/>
        </w:rPr>
        <w:t>he configured maximum output power P</w:t>
      </w:r>
      <w:r w:rsidRPr="00B37359">
        <w:rPr>
          <w:i/>
          <w:iCs/>
          <w:vertAlign w:val="subscript"/>
          <w:lang w:bidi="bn-IN"/>
        </w:rPr>
        <w:t>CMAX,</w:t>
      </w:r>
      <w:r w:rsidRPr="00B37359">
        <w:rPr>
          <w:i/>
          <w:iCs/>
          <w:vertAlign w:val="subscript"/>
          <w:lang w:eastAsia="zh-CN" w:bidi="bn-IN"/>
        </w:rPr>
        <w:t>c</w:t>
      </w:r>
      <w:r w:rsidRPr="00B37359">
        <w:rPr>
          <w:i/>
          <w:iCs/>
          <w:vertAlign w:val="subscript"/>
          <w:lang w:bidi="bn-IN"/>
        </w:rPr>
        <w:t xml:space="preserve"> </w:t>
      </w:r>
      <w:r w:rsidRPr="00B37359">
        <w:rPr>
          <w:i/>
          <w:iCs/>
          <w:lang w:bidi="bn-IN"/>
        </w:rPr>
        <w:t xml:space="preserve"> </w:t>
      </w:r>
      <w:r w:rsidRPr="00B37359">
        <w:rPr>
          <w:i/>
          <w:iCs/>
          <w:lang w:eastAsia="zh-CN"/>
        </w:rPr>
        <w:t xml:space="preserve">on serving cell </w:t>
      </w:r>
      <w:r w:rsidRPr="00B37359">
        <w:rPr>
          <w:i/>
          <w:iCs/>
          <w:lang w:bidi="bn-IN"/>
        </w:rPr>
        <w:t>c shall be set as specified in subclause 6.2.4.</w:t>
      </w:r>
      <w:r w:rsidRPr="00B37359">
        <w:rPr>
          <w:rFonts w:cs="v5.0.0" w:hint="eastAsia"/>
          <w:i/>
          <w:iCs/>
          <w:lang w:eastAsia="zh-CN"/>
        </w:rPr>
        <w:t xml:space="preserve"> </w:t>
      </w:r>
      <w:r w:rsidRPr="00B37359">
        <w:rPr>
          <w:rFonts w:cs="v5.0.0" w:hint="eastAsia"/>
          <w:i/>
          <w:iCs/>
          <w:highlight w:val="yellow"/>
          <w:lang w:eastAsia="zh-CN"/>
        </w:rPr>
        <w:t>F</w:t>
      </w:r>
      <w:r w:rsidRPr="00B37359">
        <w:rPr>
          <w:rFonts w:cs="v5.0.0"/>
          <w:i/>
          <w:iCs/>
          <w:highlight w:val="yellow"/>
          <w:lang w:eastAsia="zh-CN"/>
        </w:rPr>
        <w:t xml:space="preserve">or power class 1.5 </w:t>
      </w:r>
      <w:r w:rsidRPr="00B37359">
        <w:rPr>
          <w:i/>
          <w:iCs/>
          <w:highlight w:val="yellow"/>
        </w:rPr>
        <w:t xml:space="preserve">intra-band non-contiguous carrier aggregation, </w:t>
      </w:r>
      <w:r w:rsidR="00B37359" w:rsidRPr="00B37359">
        <w:rPr>
          <w:i/>
          <w:iCs/>
          <w:highlight w:val="yellow"/>
        </w:rPr>
        <w:t xml:space="preserve">the </w:t>
      </w:r>
      <w:r w:rsidR="00B37359" w:rsidRPr="00B37359">
        <w:rPr>
          <w:rFonts w:eastAsia="Times New Roman"/>
          <w:i/>
          <w:iCs/>
          <w:highlight w:val="yellow"/>
          <w:lang w:eastAsia="zh-CN"/>
        </w:rPr>
        <w:t>P</w:t>
      </w:r>
      <w:r w:rsidR="00B37359" w:rsidRPr="00B37359">
        <w:rPr>
          <w:rFonts w:eastAsia="Times New Roman"/>
          <w:i/>
          <w:iCs/>
          <w:highlight w:val="yellow"/>
          <w:vertAlign w:val="subscript"/>
          <w:lang w:eastAsia="zh-CN"/>
        </w:rPr>
        <w:t>PowerClass</w:t>
      </w:r>
      <w:r w:rsidR="00B37359" w:rsidRPr="00B37359">
        <w:rPr>
          <w:rFonts w:eastAsia="Times New Roman"/>
          <w:i/>
          <w:iCs/>
          <w:highlight w:val="yellow"/>
          <w:lang w:eastAsia="zh-CN"/>
        </w:rPr>
        <w:t xml:space="preserve"> per CC </w:t>
      </w:r>
      <w:r w:rsidR="00B37359" w:rsidRPr="005641EC">
        <w:rPr>
          <w:rFonts w:eastAsia="等线"/>
          <w:i/>
          <w:iCs/>
          <w:highlight w:val="yellow"/>
          <w:lang w:eastAsia="zh-CN"/>
        </w:rPr>
        <w:t>shall</w:t>
      </w:r>
      <w:r w:rsidR="00B37359" w:rsidRPr="00B37359">
        <w:rPr>
          <w:rFonts w:eastAsia="Times New Roman"/>
          <w:i/>
          <w:iCs/>
          <w:highlight w:val="yellow"/>
          <w:lang w:eastAsia="zh-CN"/>
        </w:rPr>
        <w:t xml:space="preserve"> be PC2</w:t>
      </w:r>
      <w:r w:rsidR="00B37359" w:rsidRPr="00B37359">
        <w:rPr>
          <w:rFonts w:hint="eastAsia"/>
          <w:i/>
          <w:iCs/>
          <w:highlight w:val="yellow"/>
          <w:lang w:eastAsia="zh-CN"/>
        </w:rPr>
        <w:t xml:space="preserve"> </w:t>
      </w:r>
      <w:r w:rsidRPr="00B37359">
        <w:rPr>
          <w:highlight w:val="yellow"/>
        </w:rPr>
        <w:t xml:space="preserve">when the signalling is indicated for </w:t>
      </w:r>
      <w:r w:rsidRPr="00B37359">
        <w:rPr>
          <w:i/>
          <w:highlight w:val="yellow"/>
        </w:rPr>
        <w:t>dualPA-Architecture</w:t>
      </w:r>
      <w:r w:rsidRPr="00B37359">
        <w:rPr>
          <w:highlight w:val="yellow"/>
        </w:rPr>
        <w:t xml:space="preserve"> IE</w:t>
      </w:r>
      <w:r w:rsidR="00B37359">
        <w:t>.</w:t>
      </w:r>
      <w:r w:rsidRPr="00B37359">
        <w:rPr>
          <w:lang w:val="en-US" w:eastAsia="zh-CN"/>
        </w:rPr>
        <w:t xml:space="preserve"> </w:t>
      </w:r>
    </w:p>
    <w:p w14:paraId="1815A4E4" w14:textId="77777777" w:rsidR="00576896" w:rsidRPr="00576896" w:rsidRDefault="00576896" w:rsidP="00857FC9">
      <w:pPr>
        <w:rPr>
          <w:b/>
          <w:bCs/>
          <w:lang w:val="en-US" w:eastAsia="zh-CN"/>
        </w:rPr>
      </w:pPr>
      <w:r w:rsidRPr="00576896">
        <w:rPr>
          <w:rFonts w:hint="eastAsia"/>
          <w:b/>
          <w:bCs/>
          <w:lang w:val="en-US" w:eastAsia="zh-CN"/>
        </w:rPr>
        <w:t>P</w:t>
      </w:r>
      <w:r w:rsidRPr="00576896">
        <w:rPr>
          <w:b/>
          <w:bCs/>
          <w:lang w:val="en-US" w:eastAsia="zh-CN"/>
        </w:rPr>
        <w:t xml:space="preserve">roposal </w:t>
      </w:r>
      <w:r>
        <w:rPr>
          <w:b/>
          <w:bCs/>
          <w:lang w:val="en-US" w:eastAsia="zh-CN"/>
        </w:rPr>
        <w:t>2</w:t>
      </w:r>
      <w:r w:rsidRPr="00576896">
        <w:rPr>
          <w:b/>
          <w:bCs/>
          <w:lang w:val="en-US" w:eastAsia="zh-CN"/>
        </w:rPr>
        <w:t xml:space="preserve">: </w:t>
      </w:r>
      <w:r w:rsidR="009A611C">
        <w:rPr>
          <w:b/>
          <w:bCs/>
          <w:lang w:val="en-US" w:eastAsia="zh-CN"/>
        </w:rPr>
        <w:t>f</w:t>
      </w:r>
      <w:r w:rsidRPr="00576896">
        <w:rPr>
          <w:b/>
          <w:bCs/>
          <w:lang w:val="en-US" w:eastAsia="zh-CN"/>
        </w:rPr>
        <w:t xml:space="preserve">or intra-band UL NC CA with dualPA-architecture, spec needs to be updated to reflect </w:t>
      </w:r>
      <w:r>
        <w:rPr>
          <w:b/>
          <w:bCs/>
          <w:lang w:val="en-US" w:eastAsia="zh-CN"/>
        </w:rPr>
        <w:t xml:space="preserve">the agreement </w:t>
      </w:r>
      <w:r w:rsidRPr="00576896">
        <w:rPr>
          <w:b/>
          <w:bCs/>
          <w:lang w:val="en-US" w:eastAsia="zh-CN"/>
        </w:rPr>
        <w:t>that the upper bound of Pcmax,c is 26dBm per CC.</w:t>
      </w:r>
    </w:p>
    <w:p w14:paraId="11638E41" w14:textId="77777777" w:rsidR="00571C34" w:rsidRDefault="00571C34">
      <w:pPr>
        <w:pStyle w:val="1"/>
        <w:numPr>
          <w:ilvl w:val="0"/>
          <w:numId w:val="1"/>
        </w:numPr>
        <w:tabs>
          <w:tab w:val="left" w:pos="420"/>
        </w:tabs>
        <w:spacing w:before="0" w:after="120"/>
        <w:rPr>
          <w:rFonts w:hint="eastAsia"/>
          <w:b/>
          <w:sz w:val="28"/>
          <w:szCs w:val="24"/>
          <w:lang w:eastAsia="zh-CN"/>
        </w:rPr>
      </w:pPr>
      <w:r>
        <w:rPr>
          <w:rFonts w:hint="eastAsia"/>
          <w:b/>
          <w:sz w:val="28"/>
          <w:szCs w:val="24"/>
          <w:lang w:eastAsia="zh-CN"/>
        </w:rPr>
        <w:t>Conclusion</w:t>
      </w:r>
    </w:p>
    <w:p w14:paraId="33551BC5" w14:textId="77777777" w:rsidR="002B5C3D" w:rsidRPr="00616AFA" w:rsidRDefault="00616AFA" w:rsidP="002B5C3D">
      <w:pPr>
        <w:rPr>
          <w:rFonts w:hint="eastAsia"/>
          <w:lang w:val="en-US" w:eastAsia="zh-CN"/>
        </w:rPr>
      </w:pPr>
      <w:r>
        <w:rPr>
          <w:lang w:eastAsia="zh-CN"/>
        </w:rPr>
        <w:t>I</w:t>
      </w:r>
      <w:r>
        <w:rPr>
          <w:rFonts w:hint="eastAsia"/>
          <w:lang w:eastAsia="zh-CN"/>
        </w:rPr>
        <w:t xml:space="preserve">n this </w:t>
      </w:r>
      <w:r>
        <w:rPr>
          <w:lang w:eastAsia="zh-CN"/>
        </w:rPr>
        <w:t xml:space="preserve">paper, </w:t>
      </w:r>
      <w:r>
        <w:rPr>
          <w:rFonts w:hint="eastAsia"/>
          <w:lang w:val="en-US" w:eastAsia="zh-CN"/>
        </w:rPr>
        <w:t xml:space="preserve">we give the </w:t>
      </w:r>
      <w:r w:rsidR="00E06A8F">
        <w:rPr>
          <w:lang w:val="en-US" w:eastAsia="zh-CN"/>
        </w:rPr>
        <w:t>further</w:t>
      </w:r>
      <w:r>
        <w:rPr>
          <w:rFonts w:hint="eastAsia"/>
          <w:lang w:val="en-US" w:eastAsia="zh-CN"/>
        </w:rPr>
        <w:t xml:space="preserve"> analysis </w:t>
      </w:r>
      <w:r>
        <w:rPr>
          <w:lang w:val="en-US" w:eastAsia="zh-CN"/>
        </w:rPr>
        <w:t xml:space="preserve">based on the </w:t>
      </w:r>
      <w:r w:rsidR="00E06A8F">
        <w:rPr>
          <w:lang w:val="en-US" w:eastAsia="zh-CN"/>
        </w:rPr>
        <w:t>open issue</w:t>
      </w:r>
      <w:r w:rsidR="001A6746">
        <w:rPr>
          <w:lang w:val="en-US" w:eastAsia="zh-CN"/>
        </w:rPr>
        <w:t>s</w:t>
      </w:r>
      <w:r>
        <w:rPr>
          <w:lang w:val="en-US" w:eastAsia="zh-CN"/>
        </w:rPr>
        <w:t xml:space="preserve"> listed in the W</w:t>
      </w:r>
      <w:r w:rsidR="00E06A8F">
        <w:rPr>
          <w:lang w:val="en-US" w:eastAsia="zh-CN"/>
        </w:rPr>
        <w:t>F</w:t>
      </w:r>
      <w:r>
        <w:rPr>
          <w:lang w:val="en-US" w:eastAsia="zh-CN"/>
        </w:rPr>
        <w:t xml:space="preserve"> and make the following </w:t>
      </w:r>
      <w:r w:rsidR="00B233AB">
        <w:rPr>
          <w:lang w:val="en-US" w:eastAsia="zh-CN"/>
        </w:rPr>
        <w:t>observations and proposal</w:t>
      </w:r>
      <w:r>
        <w:rPr>
          <w:rFonts w:hint="eastAsia"/>
          <w:lang w:val="en-US" w:eastAsia="zh-CN"/>
        </w:rPr>
        <w:t>:</w:t>
      </w:r>
    </w:p>
    <w:p w14:paraId="63172B55" w14:textId="77777777" w:rsidR="0010368C" w:rsidRDefault="0010368C" w:rsidP="0010368C">
      <w:pPr>
        <w:rPr>
          <w:b/>
          <w:bCs/>
          <w:sz w:val="21"/>
          <w:szCs w:val="21"/>
        </w:rPr>
      </w:pPr>
      <w:r w:rsidRPr="001E2799">
        <w:rPr>
          <w:b/>
          <w:bCs/>
          <w:sz w:val="21"/>
          <w:szCs w:val="21"/>
        </w:rPr>
        <w:t>Observation 1: the maximum PSD imbalance can be 24.4dB</w:t>
      </w:r>
      <w:r>
        <w:rPr>
          <w:b/>
          <w:bCs/>
          <w:sz w:val="21"/>
          <w:szCs w:val="21"/>
        </w:rPr>
        <w:t xml:space="preserve"> if the extreme configuration is considered.</w:t>
      </w:r>
    </w:p>
    <w:p w14:paraId="0AE642C2" w14:textId="77777777" w:rsidR="0010368C" w:rsidRDefault="0010368C" w:rsidP="0010368C">
      <w:pPr>
        <w:rPr>
          <w:b/>
          <w:bCs/>
          <w:sz w:val="21"/>
          <w:szCs w:val="21"/>
          <w:lang w:eastAsia="zh-CN"/>
        </w:rPr>
      </w:pPr>
      <w:r>
        <w:rPr>
          <w:rFonts w:hint="eastAsia"/>
          <w:b/>
          <w:bCs/>
          <w:sz w:val="21"/>
          <w:szCs w:val="21"/>
          <w:lang w:eastAsia="zh-CN"/>
        </w:rPr>
        <w:t>O</w:t>
      </w:r>
      <w:r>
        <w:rPr>
          <w:b/>
          <w:bCs/>
          <w:sz w:val="21"/>
          <w:szCs w:val="21"/>
          <w:lang w:eastAsia="zh-CN"/>
        </w:rPr>
        <w:t>bservation 2: the reason of the assumption of 6dB PSD imbalance needs to be clarified.</w:t>
      </w:r>
    </w:p>
    <w:p w14:paraId="3E9BCF03" w14:textId="77777777" w:rsidR="0010368C" w:rsidRDefault="0010368C" w:rsidP="0010368C">
      <w:pPr>
        <w:rPr>
          <w:b/>
          <w:bCs/>
          <w:sz w:val="21"/>
          <w:szCs w:val="21"/>
        </w:rPr>
      </w:pPr>
      <w:r>
        <w:rPr>
          <w:rFonts w:hint="eastAsia"/>
          <w:b/>
          <w:bCs/>
          <w:sz w:val="21"/>
          <w:szCs w:val="21"/>
          <w:lang w:eastAsia="zh-CN"/>
        </w:rPr>
        <w:lastRenderedPageBreak/>
        <w:t>O</w:t>
      </w:r>
      <w:r>
        <w:rPr>
          <w:b/>
          <w:bCs/>
          <w:sz w:val="21"/>
          <w:szCs w:val="21"/>
          <w:lang w:eastAsia="zh-CN"/>
        </w:rPr>
        <w:t>bserva</w:t>
      </w:r>
      <w:r w:rsidRPr="00A85D51">
        <w:rPr>
          <w:b/>
          <w:bCs/>
          <w:sz w:val="21"/>
          <w:szCs w:val="21"/>
          <w:lang w:eastAsia="zh-CN"/>
        </w:rPr>
        <w:t xml:space="preserve">tion 3: </w:t>
      </w:r>
      <w:r w:rsidRPr="00A85D51">
        <w:rPr>
          <w:b/>
          <w:bCs/>
          <w:sz w:val="21"/>
          <w:szCs w:val="21"/>
        </w:rPr>
        <w:t>The impact of PSD imbalance on MPR is very complicated. In some RB allocation areas, the larger the PSD offset, the larger the MPR, but in other RB allocation areas, the situation may be opposite.</w:t>
      </w:r>
    </w:p>
    <w:p w14:paraId="7A618B51" w14:textId="77777777" w:rsidR="0010368C" w:rsidRDefault="0010368C" w:rsidP="0010368C">
      <w:pPr>
        <w:rPr>
          <w:b/>
          <w:bCs/>
          <w:lang w:eastAsia="zh-CN"/>
        </w:rPr>
      </w:pPr>
      <w:r w:rsidRPr="00026E46">
        <w:rPr>
          <w:rFonts w:hint="eastAsia"/>
          <w:b/>
          <w:bCs/>
          <w:sz w:val="21"/>
          <w:szCs w:val="21"/>
          <w:lang w:eastAsia="zh-CN"/>
        </w:rPr>
        <w:t>O</w:t>
      </w:r>
      <w:r w:rsidRPr="00026E46">
        <w:rPr>
          <w:b/>
          <w:bCs/>
          <w:sz w:val="21"/>
          <w:szCs w:val="21"/>
          <w:lang w:eastAsia="zh-CN"/>
        </w:rPr>
        <w:t xml:space="preserve">bservation 4: </w:t>
      </w:r>
      <w:r w:rsidRPr="00026E46">
        <w:rPr>
          <w:b/>
          <w:bCs/>
          <w:lang w:eastAsia="zh-CN"/>
        </w:rPr>
        <w:t>it is hard to get the worst case if also different bandwidth combination configurations and different PSD imbalance are considered.</w:t>
      </w:r>
    </w:p>
    <w:p w14:paraId="0B2A8B7B" w14:textId="77777777" w:rsidR="0010368C" w:rsidRDefault="0010368C" w:rsidP="0010368C">
      <w:pPr>
        <w:rPr>
          <w:b/>
          <w:bCs/>
          <w:lang w:val="en-US" w:eastAsia="zh-CN"/>
        </w:rPr>
      </w:pPr>
      <w:r>
        <w:rPr>
          <w:b/>
          <w:bCs/>
          <w:lang w:val="en-US" w:eastAsia="zh-CN"/>
        </w:rPr>
        <w:t>Proposal 1: define MPR requirements for PC1.5 intra-band NC CA based on equal PSD.</w:t>
      </w:r>
    </w:p>
    <w:p w14:paraId="7A359445" w14:textId="77777777" w:rsidR="0010368C" w:rsidRPr="00576896" w:rsidRDefault="0010368C" w:rsidP="0010368C">
      <w:pPr>
        <w:rPr>
          <w:b/>
          <w:bCs/>
          <w:lang w:val="en-US" w:eastAsia="zh-CN"/>
        </w:rPr>
      </w:pPr>
      <w:r w:rsidRPr="00576896">
        <w:rPr>
          <w:rFonts w:hint="eastAsia"/>
          <w:b/>
          <w:bCs/>
          <w:lang w:val="en-US" w:eastAsia="zh-CN"/>
        </w:rPr>
        <w:t>P</w:t>
      </w:r>
      <w:r w:rsidRPr="00576896">
        <w:rPr>
          <w:b/>
          <w:bCs/>
          <w:lang w:val="en-US" w:eastAsia="zh-CN"/>
        </w:rPr>
        <w:t xml:space="preserve">roposal </w:t>
      </w:r>
      <w:r>
        <w:rPr>
          <w:b/>
          <w:bCs/>
          <w:lang w:val="en-US" w:eastAsia="zh-CN"/>
        </w:rPr>
        <w:t>2</w:t>
      </w:r>
      <w:r w:rsidRPr="00576896">
        <w:rPr>
          <w:b/>
          <w:bCs/>
          <w:lang w:val="en-US" w:eastAsia="zh-CN"/>
        </w:rPr>
        <w:t xml:space="preserve">: </w:t>
      </w:r>
      <w:r>
        <w:rPr>
          <w:b/>
          <w:bCs/>
          <w:lang w:val="en-US" w:eastAsia="zh-CN"/>
        </w:rPr>
        <w:t>f</w:t>
      </w:r>
      <w:r w:rsidRPr="00576896">
        <w:rPr>
          <w:b/>
          <w:bCs/>
          <w:lang w:val="en-US" w:eastAsia="zh-CN"/>
        </w:rPr>
        <w:t xml:space="preserve">or intra-band UL NC CA with dualPA-architecture, spec needs to be updated to reflect </w:t>
      </w:r>
      <w:r>
        <w:rPr>
          <w:b/>
          <w:bCs/>
          <w:lang w:val="en-US" w:eastAsia="zh-CN"/>
        </w:rPr>
        <w:t xml:space="preserve">the agreement </w:t>
      </w:r>
      <w:r w:rsidRPr="00576896">
        <w:rPr>
          <w:b/>
          <w:bCs/>
          <w:lang w:val="en-US" w:eastAsia="zh-CN"/>
        </w:rPr>
        <w:t>that the upper bound of Pcmax,c is 26dBm per CC.</w:t>
      </w:r>
    </w:p>
    <w:p w14:paraId="748609CF" w14:textId="77777777" w:rsidR="00571C34" w:rsidRDefault="00571C34" w:rsidP="00044480">
      <w:pPr>
        <w:pStyle w:val="1"/>
        <w:spacing w:before="0" w:after="120"/>
        <w:ind w:left="420" w:hanging="420"/>
        <w:rPr>
          <w:rFonts w:hint="eastAsia"/>
          <w:b/>
          <w:sz w:val="28"/>
          <w:szCs w:val="24"/>
          <w:lang w:eastAsia="zh-CN"/>
        </w:rPr>
      </w:pPr>
      <w:r>
        <w:rPr>
          <w:rFonts w:hint="eastAsia"/>
          <w:b/>
          <w:sz w:val="28"/>
          <w:szCs w:val="24"/>
          <w:lang w:eastAsia="zh-CN"/>
        </w:rPr>
        <w:t>Reference</w:t>
      </w:r>
    </w:p>
    <w:bookmarkEnd w:id="0"/>
    <w:p w14:paraId="55333605" w14:textId="77777777" w:rsidR="00AA31FB" w:rsidRDefault="00AA31FB" w:rsidP="00616AFA">
      <w:pPr>
        <w:numPr>
          <w:ilvl w:val="0"/>
          <w:numId w:val="4"/>
        </w:numPr>
        <w:rPr>
          <w:lang w:val="en-US" w:eastAsia="zh-CN"/>
        </w:rPr>
      </w:pPr>
      <w:r>
        <w:rPr>
          <w:rFonts w:hint="eastAsia"/>
          <w:lang w:val="en-US" w:eastAsia="zh-CN"/>
        </w:rPr>
        <w:t>R</w:t>
      </w:r>
      <w:r>
        <w:rPr>
          <w:lang w:val="en-US" w:eastAsia="zh-CN"/>
        </w:rPr>
        <w:t>4-241</w:t>
      </w:r>
      <w:r w:rsidR="0010368C">
        <w:rPr>
          <w:lang w:val="en-US" w:eastAsia="zh-CN"/>
        </w:rPr>
        <w:t>7098</w:t>
      </w:r>
      <w:r>
        <w:rPr>
          <w:lang w:val="en-US" w:eastAsia="zh-CN"/>
        </w:rPr>
        <w:t xml:space="preserve">, </w:t>
      </w:r>
      <w:r w:rsidRPr="00AA31FB">
        <w:rPr>
          <w:lang w:val="en-US" w:eastAsia="zh-CN"/>
        </w:rPr>
        <w:t>WF on HPUE for CA in TN</w:t>
      </w:r>
      <w:r>
        <w:rPr>
          <w:lang w:val="en-US" w:eastAsia="zh-CN"/>
        </w:rPr>
        <w:t>, Samsung</w:t>
      </w:r>
    </w:p>
    <w:p w14:paraId="28AC4658" w14:textId="77777777" w:rsidR="00AA31FB" w:rsidRPr="001310DC" w:rsidRDefault="001310DC" w:rsidP="00616AFA">
      <w:pPr>
        <w:numPr>
          <w:ilvl w:val="0"/>
          <w:numId w:val="4"/>
        </w:numPr>
        <w:rPr>
          <w:lang w:val="en-US" w:eastAsia="zh-CN"/>
        </w:rPr>
      </w:pPr>
      <w:r>
        <w:rPr>
          <w:rFonts w:hint="eastAsia"/>
          <w:lang w:val="en-US" w:eastAsia="zh-CN"/>
        </w:rPr>
        <w:t>R</w:t>
      </w:r>
      <w:r>
        <w:rPr>
          <w:lang w:val="en-US" w:eastAsia="zh-CN"/>
        </w:rPr>
        <w:t>4-2</w:t>
      </w:r>
      <w:r w:rsidR="0010368C">
        <w:rPr>
          <w:lang w:val="en-US" w:eastAsia="zh-CN"/>
        </w:rPr>
        <w:t>415053</w:t>
      </w:r>
      <w:r>
        <w:rPr>
          <w:lang w:val="en-US" w:eastAsia="zh-CN"/>
        </w:rPr>
        <w:t xml:space="preserve">, </w:t>
      </w:r>
      <w:r w:rsidR="0010368C">
        <w:rPr>
          <w:lang w:val="en-US" w:eastAsia="zh-CN"/>
        </w:rPr>
        <w:t>Discussion on PC1.5 TDD intra-band CA, Xiaomi</w:t>
      </w:r>
    </w:p>
    <w:p w14:paraId="7413605A" w14:textId="77777777" w:rsidR="00FC7228" w:rsidRPr="00616AFA" w:rsidRDefault="00616AFA" w:rsidP="00616AFA">
      <w:pPr>
        <w:numPr>
          <w:ilvl w:val="0"/>
          <w:numId w:val="4"/>
        </w:numPr>
        <w:rPr>
          <w:rFonts w:hint="eastAsia"/>
          <w:lang w:val="en-US" w:eastAsia="zh-CN"/>
        </w:rPr>
      </w:pPr>
      <w:r>
        <w:rPr>
          <w:lang w:val="en-US" w:eastAsia="zh-CN"/>
        </w:rPr>
        <w:t>RP</w:t>
      </w:r>
      <w:r w:rsidRPr="00F33033">
        <w:rPr>
          <w:lang w:val="en-US" w:eastAsia="zh-CN"/>
        </w:rPr>
        <w:t>-2</w:t>
      </w:r>
      <w:r>
        <w:rPr>
          <w:lang w:val="en-US" w:eastAsia="zh-CN"/>
        </w:rPr>
        <w:t>40828</w:t>
      </w:r>
      <w:r w:rsidRPr="00F33033">
        <w:rPr>
          <w:lang w:val="en-US" w:eastAsia="zh-CN"/>
        </w:rPr>
        <w:t xml:space="preserve">, </w:t>
      </w:r>
      <w:r w:rsidRPr="00616AFA">
        <w:rPr>
          <w:lang w:val="en-US" w:eastAsia="zh-CN"/>
        </w:rPr>
        <w:t>New WID: UE RF enhancements for NR FR1/FR2 and EN-DC, Phase 4</w:t>
      </w:r>
      <w:r>
        <w:rPr>
          <w:lang w:eastAsia="zh-CN"/>
        </w:rPr>
        <w:t xml:space="preserve">, </w:t>
      </w:r>
      <w:r w:rsidRPr="00616AFA">
        <w:rPr>
          <w:lang w:eastAsia="zh-CN"/>
        </w:rPr>
        <w:t>RAN4 chair (Huawei)</w:t>
      </w:r>
    </w:p>
    <w:sectPr w:rsidR="00FC7228" w:rsidRPr="00616AFA">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D3A6" w14:textId="77777777" w:rsidR="001A6557" w:rsidRDefault="001A6557">
      <w:pPr>
        <w:spacing w:after="0"/>
      </w:pPr>
      <w:r>
        <w:separator/>
      </w:r>
    </w:p>
  </w:endnote>
  <w:endnote w:type="continuationSeparator" w:id="0">
    <w:p w14:paraId="78697F6B" w14:textId="77777777" w:rsidR="001A6557" w:rsidRDefault="001A6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1575C" w14:textId="77777777" w:rsidR="001A6557" w:rsidRDefault="001A6557">
      <w:pPr>
        <w:spacing w:after="0"/>
      </w:pPr>
      <w:r>
        <w:separator/>
      </w:r>
    </w:p>
  </w:footnote>
  <w:footnote w:type="continuationSeparator" w:id="0">
    <w:p w14:paraId="7F492D73" w14:textId="77777777" w:rsidR="001A6557" w:rsidRDefault="001A6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DE7C" w14:textId="77777777" w:rsidR="00F71023" w:rsidRDefault="00603693">
    <w:pPr>
      <w:pStyle w:val="af2"/>
      <w:tabs>
        <w:tab w:val="right" w:pos="9639"/>
      </w:tab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B1630783"/>
    <w:multiLevelType w:val="singleLevel"/>
    <w:tmpl w:val="B1630783"/>
    <w:lvl w:ilvl="0">
      <w:start w:val="1"/>
      <w:numFmt w:val="decimal"/>
      <w:lvlText w:val="%1."/>
      <w:lvlJc w:val="left"/>
    </w:lvl>
  </w:abstractNum>
  <w:abstractNum w:abstractNumId="2" w15:restartNumberingAfterBreak="0">
    <w:nsid w:val="C11E7555"/>
    <w:multiLevelType w:val="singleLevel"/>
    <w:tmpl w:val="C11E7555"/>
    <w:lvl w:ilvl="0">
      <w:start w:val="1"/>
      <w:numFmt w:val="decimal"/>
      <w:lvlText w:val="%1)"/>
      <w:lvlJc w:val="left"/>
      <w:pPr>
        <w:tabs>
          <w:tab w:val="num" w:pos="312"/>
        </w:tabs>
      </w:pPr>
    </w:lvl>
  </w:abstractNum>
  <w:abstractNum w:abstractNumId="3" w15:restartNumberingAfterBreak="0">
    <w:nsid w:val="DFAE1895"/>
    <w:multiLevelType w:val="singleLevel"/>
    <w:tmpl w:val="DFAE1895"/>
    <w:lvl w:ilvl="0">
      <w:start w:val="1"/>
      <w:numFmt w:val="decimal"/>
      <w:suff w:val="space"/>
      <w:lvlText w:val="[%1]"/>
      <w:lvlJc w:val="left"/>
      <w:pPr>
        <w:ind w:left="0" w:firstLine="0"/>
      </w:pPr>
    </w:lvl>
  </w:abstractNum>
  <w:abstractNum w:abstractNumId="4" w15:restartNumberingAfterBreak="0">
    <w:nsid w:val="E42A4395"/>
    <w:multiLevelType w:val="singleLevel"/>
    <w:tmpl w:val="E42A4395"/>
    <w:lvl w:ilvl="0">
      <w:start w:val="1"/>
      <w:numFmt w:val="decimal"/>
      <w:suff w:val="space"/>
      <w:lvlText w:val="[%1]"/>
      <w:lvlJc w:val="left"/>
    </w:lvl>
  </w:abstractNum>
  <w:abstractNum w:abstractNumId="5" w15:restartNumberingAfterBreak="0">
    <w:nsid w:val="026F0844"/>
    <w:multiLevelType w:val="hybridMultilevel"/>
    <w:tmpl w:val="4B1CEBBA"/>
    <w:lvl w:ilvl="0" w:tplc="E08E3EBA">
      <w:start w:val="1"/>
      <w:numFmt w:val="bullet"/>
      <w:lvlText w:val="•"/>
      <w:lvlJc w:val="left"/>
      <w:pPr>
        <w:tabs>
          <w:tab w:val="num" w:pos="720"/>
        </w:tabs>
        <w:ind w:left="720" w:hanging="360"/>
      </w:pPr>
      <w:rPr>
        <w:rFonts w:ascii="Arial" w:hAnsi="Arial" w:hint="default"/>
      </w:rPr>
    </w:lvl>
    <w:lvl w:ilvl="1" w:tplc="EB1C2644">
      <w:start w:val="1"/>
      <w:numFmt w:val="bullet"/>
      <w:lvlText w:val="•"/>
      <w:lvlJc w:val="left"/>
      <w:pPr>
        <w:tabs>
          <w:tab w:val="num" w:pos="1440"/>
        </w:tabs>
        <w:ind w:left="1440" w:hanging="360"/>
      </w:pPr>
      <w:rPr>
        <w:rFonts w:ascii="Arial" w:hAnsi="Arial" w:hint="default"/>
      </w:rPr>
    </w:lvl>
    <w:lvl w:ilvl="2" w:tplc="85C8A92A">
      <w:numFmt w:val="none"/>
      <w:lvlText w:val=""/>
      <w:lvlJc w:val="left"/>
      <w:pPr>
        <w:tabs>
          <w:tab w:val="num" w:pos="360"/>
        </w:tabs>
      </w:pPr>
    </w:lvl>
    <w:lvl w:ilvl="3" w:tplc="1F2052F8">
      <w:numFmt w:val="none"/>
      <w:lvlText w:val=""/>
      <w:lvlJc w:val="left"/>
      <w:pPr>
        <w:tabs>
          <w:tab w:val="num" w:pos="360"/>
        </w:tabs>
      </w:pPr>
    </w:lvl>
    <w:lvl w:ilvl="4" w:tplc="73E0CEFA">
      <w:numFmt w:val="none"/>
      <w:lvlText w:val=""/>
      <w:lvlJc w:val="left"/>
      <w:pPr>
        <w:tabs>
          <w:tab w:val="num" w:pos="360"/>
        </w:tabs>
      </w:pPr>
    </w:lvl>
    <w:lvl w:ilvl="5" w:tplc="0D027A4A" w:tentative="1">
      <w:start w:val="1"/>
      <w:numFmt w:val="bullet"/>
      <w:lvlText w:val="•"/>
      <w:lvlJc w:val="left"/>
      <w:pPr>
        <w:tabs>
          <w:tab w:val="num" w:pos="4320"/>
        </w:tabs>
        <w:ind w:left="4320" w:hanging="360"/>
      </w:pPr>
      <w:rPr>
        <w:rFonts w:ascii="Arial" w:hAnsi="Arial" w:hint="default"/>
      </w:rPr>
    </w:lvl>
    <w:lvl w:ilvl="6" w:tplc="C49C2F2E" w:tentative="1">
      <w:start w:val="1"/>
      <w:numFmt w:val="bullet"/>
      <w:lvlText w:val="•"/>
      <w:lvlJc w:val="left"/>
      <w:pPr>
        <w:tabs>
          <w:tab w:val="num" w:pos="5040"/>
        </w:tabs>
        <w:ind w:left="5040" w:hanging="360"/>
      </w:pPr>
      <w:rPr>
        <w:rFonts w:ascii="Arial" w:hAnsi="Arial" w:hint="default"/>
      </w:rPr>
    </w:lvl>
    <w:lvl w:ilvl="7" w:tplc="77823FCE" w:tentative="1">
      <w:start w:val="1"/>
      <w:numFmt w:val="bullet"/>
      <w:lvlText w:val="•"/>
      <w:lvlJc w:val="left"/>
      <w:pPr>
        <w:tabs>
          <w:tab w:val="num" w:pos="5760"/>
        </w:tabs>
        <w:ind w:left="5760" w:hanging="360"/>
      </w:pPr>
      <w:rPr>
        <w:rFonts w:ascii="Arial" w:hAnsi="Arial" w:hint="default"/>
      </w:rPr>
    </w:lvl>
    <w:lvl w:ilvl="8" w:tplc="51C8D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9D7848"/>
    <w:multiLevelType w:val="hybridMultilevel"/>
    <w:tmpl w:val="6164CCA0"/>
    <w:lvl w:ilvl="0" w:tplc="C2E8C48A">
      <w:start w:val="1"/>
      <w:numFmt w:val="bullet"/>
      <w:lvlText w:val="•"/>
      <w:lvlJc w:val="left"/>
      <w:pPr>
        <w:tabs>
          <w:tab w:val="num" w:pos="720"/>
        </w:tabs>
        <w:ind w:left="720" w:hanging="360"/>
      </w:pPr>
      <w:rPr>
        <w:rFonts w:ascii="Arial" w:hAnsi="Arial" w:hint="default"/>
      </w:rPr>
    </w:lvl>
    <w:lvl w:ilvl="1" w:tplc="7F0432E6">
      <w:start w:val="1"/>
      <w:numFmt w:val="bullet"/>
      <w:lvlText w:val="•"/>
      <w:lvlJc w:val="left"/>
      <w:pPr>
        <w:tabs>
          <w:tab w:val="num" w:pos="1440"/>
        </w:tabs>
        <w:ind w:left="1440" w:hanging="360"/>
      </w:pPr>
      <w:rPr>
        <w:rFonts w:ascii="Arial" w:hAnsi="Arial" w:hint="default"/>
      </w:rPr>
    </w:lvl>
    <w:lvl w:ilvl="2" w:tplc="188E7750">
      <w:start w:val="16256"/>
      <w:numFmt w:val="bullet"/>
      <w:lvlText w:val="•"/>
      <w:lvlJc w:val="left"/>
      <w:pPr>
        <w:tabs>
          <w:tab w:val="num" w:pos="2160"/>
        </w:tabs>
        <w:ind w:left="2160" w:hanging="360"/>
      </w:pPr>
      <w:rPr>
        <w:rFonts w:ascii="Arial" w:hAnsi="Arial" w:hint="default"/>
      </w:rPr>
    </w:lvl>
    <w:lvl w:ilvl="3" w:tplc="B49EB438" w:tentative="1">
      <w:start w:val="1"/>
      <w:numFmt w:val="bullet"/>
      <w:lvlText w:val="•"/>
      <w:lvlJc w:val="left"/>
      <w:pPr>
        <w:tabs>
          <w:tab w:val="num" w:pos="2880"/>
        </w:tabs>
        <w:ind w:left="2880" w:hanging="360"/>
      </w:pPr>
      <w:rPr>
        <w:rFonts w:ascii="Arial" w:hAnsi="Arial" w:hint="default"/>
      </w:rPr>
    </w:lvl>
    <w:lvl w:ilvl="4" w:tplc="72C675DA" w:tentative="1">
      <w:start w:val="1"/>
      <w:numFmt w:val="bullet"/>
      <w:lvlText w:val="•"/>
      <w:lvlJc w:val="left"/>
      <w:pPr>
        <w:tabs>
          <w:tab w:val="num" w:pos="3600"/>
        </w:tabs>
        <w:ind w:left="3600" w:hanging="360"/>
      </w:pPr>
      <w:rPr>
        <w:rFonts w:ascii="Arial" w:hAnsi="Arial" w:hint="default"/>
      </w:rPr>
    </w:lvl>
    <w:lvl w:ilvl="5" w:tplc="9A0C5C78" w:tentative="1">
      <w:start w:val="1"/>
      <w:numFmt w:val="bullet"/>
      <w:lvlText w:val="•"/>
      <w:lvlJc w:val="left"/>
      <w:pPr>
        <w:tabs>
          <w:tab w:val="num" w:pos="4320"/>
        </w:tabs>
        <w:ind w:left="4320" w:hanging="360"/>
      </w:pPr>
      <w:rPr>
        <w:rFonts w:ascii="Arial" w:hAnsi="Arial" w:hint="default"/>
      </w:rPr>
    </w:lvl>
    <w:lvl w:ilvl="6" w:tplc="BFDE5DBE" w:tentative="1">
      <w:start w:val="1"/>
      <w:numFmt w:val="bullet"/>
      <w:lvlText w:val="•"/>
      <w:lvlJc w:val="left"/>
      <w:pPr>
        <w:tabs>
          <w:tab w:val="num" w:pos="5040"/>
        </w:tabs>
        <w:ind w:left="5040" w:hanging="360"/>
      </w:pPr>
      <w:rPr>
        <w:rFonts w:ascii="Arial" w:hAnsi="Arial" w:hint="default"/>
      </w:rPr>
    </w:lvl>
    <w:lvl w:ilvl="7" w:tplc="B9B84372" w:tentative="1">
      <w:start w:val="1"/>
      <w:numFmt w:val="bullet"/>
      <w:lvlText w:val="•"/>
      <w:lvlJc w:val="left"/>
      <w:pPr>
        <w:tabs>
          <w:tab w:val="num" w:pos="5760"/>
        </w:tabs>
        <w:ind w:left="5760" w:hanging="360"/>
      </w:pPr>
      <w:rPr>
        <w:rFonts w:ascii="Arial" w:hAnsi="Arial" w:hint="default"/>
      </w:rPr>
    </w:lvl>
    <w:lvl w:ilvl="8" w:tplc="ECC003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221800"/>
    <w:multiLevelType w:val="hybridMultilevel"/>
    <w:tmpl w:val="C4B00DDC"/>
    <w:lvl w:ilvl="0" w:tplc="176CD00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3304FE"/>
    <w:multiLevelType w:val="hybridMultilevel"/>
    <w:tmpl w:val="8A5A442A"/>
    <w:lvl w:ilvl="0" w:tplc="58E0EF78">
      <w:start w:val="1"/>
      <w:numFmt w:val="bullet"/>
      <w:lvlText w:val="•"/>
      <w:lvlJc w:val="left"/>
      <w:pPr>
        <w:tabs>
          <w:tab w:val="num" w:pos="720"/>
        </w:tabs>
        <w:ind w:left="720" w:hanging="360"/>
      </w:pPr>
      <w:rPr>
        <w:rFonts w:ascii="Arial" w:hAnsi="Arial" w:hint="default"/>
      </w:rPr>
    </w:lvl>
    <w:lvl w:ilvl="1" w:tplc="5D92029C">
      <w:start w:val="1"/>
      <w:numFmt w:val="bullet"/>
      <w:lvlText w:val="•"/>
      <w:lvlJc w:val="left"/>
      <w:pPr>
        <w:tabs>
          <w:tab w:val="num" w:pos="1440"/>
        </w:tabs>
        <w:ind w:left="1440" w:hanging="360"/>
      </w:pPr>
      <w:rPr>
        <w:rFonts w:ascii="Arial" w:hAnsi="Arial" w:hint="default"/>
      </w:rPr>
    </w:lvl>
    <w:lvl w:ilvl="2" w:tplc="83CA4258" w:tentative="1">
      <w:start w:val="1"/>
      <w:numFmt w:val="bullet"/>
      <w:lvlText w:val="•"/>
      <w:lvlJc w:val="left"/>
      <w:pPr>
        <w:tabs>
          <w:tab w:val="num" w:pos="2160"/>
        </w:tabs>
        <w:ind w:left="2160" w:hanging="360"/>
      </w:pPr>
      <w:rPr>
        <w:rFonts w:ascii="Arial" w:hAnsi="Arial" w:hint="default"/>
      </w:rPr>
    </w:lvl>
    <w:lvl w:ilvl="3" w:tplc="92D6A3CC" w:tentative="1">
      <w:start w:val="1"/>
      <w:numFmt w:val="bullet"/>
      <w:lvlText w:val="•"/>
      <w:lvlJc w:val="left"/>
      <w:pPr>
        <w:tabs>
          <w:tab w:val="num" w:pos="2880"/>
        </w:tabs>
        <w:ind w:left="2880" w:hanging="360"/>
      </w:pPr>
      <w:rPr>
        <w:rFonts w:ascii="Arial" w:hAnsi="Arial" w:hint="default"/>
      </w:rPr>
    </w:lvl>
    <w:lvl w:ilvl="4" w:tplc="38E058FE" w:tentative="1">
      <w:start w:val="1"/>
      <w:numFmt w:val="bullet"/>
      <w:lvlText w:val="•"/>
      <w:lvlJc w:val="left"/>
      <w:pPr>
        <w:tabs>
          <w:tab w:val="num" w:pos="3600"/>
        </w:tabs>
        <w:ind w:left="3600" w:hanging="360"/>
      </w:pPr>
      <w:rPr>
        <w:rFonts w:ascii="Arial" w:hAnsi="Arial" w:hint="default"/>
      </w:rPr>
    </w:lvl>
    <w:lvl w:ilvl="5" w:tplc="8AE61B84" w:tentative="1">
      <w:start w:val="1"/>
      <w:numFmt w:val="bullet"/>
      <w:lvlText w:val="•"/>
      <w:lvlJc w:val="left"/>
      <w:pPr>
        <w:tabs>
          <w:tab w:val="num" w:pos="4320"/>
        </w:tabs>
        <w:ind w:left="4320" w:hanging="360"/>
      </w:pPr>
      <w:rPr>
        <w:rFonts w:ascii="Arial" w:hAnsi="Arial" w:hint="default"/>
      </w:rPr>
    </w:lvl>
    <w:lvl w:ilvl="6" w:tplc="0910053C" w:tentative="1">
      <w:start w:val="1"/>
      <w:numFmt w:val="bullet"/>
      <w:lvlText w:val="•"/>
      <w:lvlJc w:val="left"/>
      <w:pPr>
        <w:tabs>
          <w:tab w:val="num" w:pos="5040"/>
        </w:tabs>
        <w:ind w:left="5040" w:hanging="360"/>
      </w:pPr>
      <w:rPr>
        <w:rFonts w:ascii="Arial" w:hAnsi="Arial" w:hint="default"/>
      </w:rPr>
    </w:lvl>
    <w:lvl w:ilvl="7" w:tplc="12629888" w:tentative="1">
      <w:start w:val="1"/>
      <w:numFmt w:val="bullet"/>
      <w:lvlText w:val="•"/>
      <w:lvlJc w:val="left"/>
      <w:pPr>
        <w:tabs>
          <w:tab w:val="num" w:pos="5760"/>
        </w:tabs>
        <w:ind w:left="5760" w:hanging="360"/>
      </w:pPr>
      <w:rPr>
        <w:rFonts w:ascii="Arial" w:hAnsi="Arial" w:hint="default"/>
      </w:rPr>
    </w:lvl>
    <w:lvl w:ilvl="8" w:tplc="25EC44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6A41F5"/>
    <w:multiLevelType w:val="multilevel"/>
    <w:tmpl w:val="4ACCF1B2"/>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F496F34"/>
    <w:multiLevelType w:val="hybridMultilevel"/>
    <w:tmpl w:val="B984AE8A"/>
    <w:lvl w:ilvl="0" w:tplc="6B7846A8">
      <w:start w:val="1"/>
      <w:numFmt w:val="bullet"/>
      <w:lvlText w:val="•"/>
      <w:lvlJc w:val="left"/>
      <w:pPr>
        <w:tabs>
          <w:tab w:val="num" w:pos="720"/>
        </w:tabs>
        <w:ind w:left="720" w:hanging="360"/>
      </w:pPr>
      <w:rPr>
        <w:rFonts w:ascii="Arial" w:hAnsi="Arial" w:hint="default"/>
      </w:rPr>
    </w:lvl>
    <w:lvl w:ilvl="1" w:tplc="2768417A">
      <w:start w:val="1"/>
      <w:numFmt w:val="bullet"/>
      <w:lvlText w:val="•"/>
      <w:lvlJc w:val="left"/>
      <w:pPr>
        <w:tabs>
          <w:tab w:val="num" w:pos="1440"/>
        </w:tabs>
        <w:ind w:left="1440" w:hanging="360"/>
      </w:pPr>
      <w:rPr>
        <w:rFonts w:ascii="Arial" w:hAnsi="Arial" w:hint="default"/>
      </w:rPr>
    </w:lvl>
    <w:lvl w:ilvl="2" w:tplc="7324C8B0" w:tentative="1">
      <w:start w:val="1"/>
      <w:numFmt w:val="bullet"/>
      <w:lvlText w:val="•"/>
      <w:lvlJc w:val="left"/>
      <w:pPr>
        <w:tabs>
          <w:tab w:val="num" w:pos="2160"/>
        </w:tabs>
        <w:ind w:left="2160" w:hanging="360"/>
      </w:pPr>
      <w:rPr>
        <w:rFonts w:ascii="Arial" w:hAnsi="Arial" w:hint="default"/>
      </w:rPr>
    </w:lvl>
    <w:lvl w:ilvl="3" w:tplc="8768446A" w:tentative="1">
      <w:start w:val="1"/>
      <w:numFmt w:val="bullet"/>
      <w:lvlText w:val="•"/>
      <w:lvlJc w:val="left"/>
      <w:pPr>
        <w:tabs>
          <w:tab w:val="num" w:pos="2880"/>
        </w:tabs>
        <w:ind w:left="2880" w:hanging="360"/>
      </w:pPr>
      <w:rPr>
        <w:rFonts w:ascii="Arial" w:hAnsi="Arial" w:hint="default"/>
      </w:rPr>
    </w:lvl>
    <w:lvl w:ilvl="4" w:tplc="28CEF020" w:tentative="1">
      <w:start w:val="1"/>
      <w:numFmt w:val="bullet"/>
      <w:lvlText w:val="•"/>
      <w:lvlJc w:val="left"/>
      <w:pPr>
        <w:tabs>
          <w:tab w:val="num" w:pos="3600"/>
        </w:tabs>
        <w:ind w:left="3600" w:hanging="360"/>
      </w:pPr>
      <w:rPr>
        <w:rFonts w:ascii="Arial" w:hAnsi="Arial" w:hint="default"/>
      </w:rPr>
    </w:lvl>
    <w:lvl w:ilvl="5" w:tplc="C32640D0" w:tentative="1">
      <w:start w:val="1"/>
      <w:numFmt w:val="bullet"/>
      <w:lvlText w:val="•"/>
      <w:lvlJc w:val="left"/>
      <w:pPr>
        <w:tabs>
          <w:tab w:val="num" w:pos="4320"/>
        </w:tabs>
        <w:ind w:left="4320" w:hanging="360"/>
      </w:pPr>
      <w:rPr>
        <w:rFonts w:ascii="Arial" w:hAnsi="Arial" w:hint="default"/>
      </w:rPr>
    </w:lvl>
    <w:lvl w:ilvl="6" w:tplc="BF7A5B8E" w:tentative="1">
      <w:start w:val="1"/>
      <w:numFmt w:val="bullet"/>
      <w:lvlText w:val="•"/>
      <w:lvlJc w:val="left"/>
      <w:pPr>
        <w:tabs>
          <w:tab w:val="num" w:pos="5040"/>
        </w:tabs>
        <w:ind w:left="5040" w:hanging="360"/>
      </w:pPr>
      <w:rPr>
        <w:rFonts w:ascii="Arial" w:hAnsi="Arial" w:hint="default"/>
      </w:rPr>
    </w:lvl>
    <w:lvl w:ilvl="7" w:tplc="BA1EAF06" w:tentative="1">
      <w:start w:val="1"/>
      <w:numFmt w:val="bullet"/>
      <w:lvlText w:val="•"/>
      <w:lvlJc w:val="left"/>
      <w:pPr>
        <w:tabs>
          <w:tab w:val="num" w:pos="5760"/>
        </w:tabs>
        <w:ind w:left="5760" w:hanging="360"/>
      </w:pPr>
      <w:rPr>
        <w:rFonts w:ascii="Arial" w:hAnsi="Arial" w:hint="default"/>
      </w:rPr>
    </w:lvl>
    <w:lvl w:ilvl="8" w:tplc="21341E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102451"/>
    <w:multiLevelType w:val="hybridMultilevel"/>
    <w:tmpl w:val="EB523782"/>
    <w:lvl w:ilvl="0" w:tplc="E25EE752">
      <w:start w:val="1"/>
      <w:numFmt w:val="bullet"/>
      <w:lvlText w:val="•"/>
      <w:lvlJc w:val="left"/>
      <w:pPr>
        <w:tabs>
          <w:tab w:val="num" w:pos="720"/>
        </w:tabs>
        <w:ind w:left="720" w:hanging="360"/>
      </w:pPr>
      <w:rPr>
        <w:rFonts w:ascii="Arial" w:hAnsi="Arial" w:hint="default"/>
      </w:rPr>
    </w:lvl>
    <w:lvl w:ilvl="1" w:tplc="F11C7F58">
      <w:start w:val="1"/>
      <w:numFmt w:val="bullet"/>
      <w:lvlText w:val="•"/>
      <w:lvlJc w:val="left"/>
      <w:pPr>
        <w:tabs>
          <w:tab w:val="num" w:pos="1440"/>
        </w:tabs>
        <w:ind w:left="1440" w:hanging="360"/>
      </w:pPr>
      <w:rPr>
        <w:rFonts w:ascii="Arial" w:hAnsi="Arial" w:hint="default"/>
      </w:rPr>
    </w:lvl>
    <w:lvl w:ilvl="2" w:tplc="F50C837C" w:tentative="1">
      <w:start w:val="1"/>
      <w:numFmt w:val="bullet"/>
      <w:lvlText w:val="•"/>
      <w:lvlJc w:val="left"/>
      <w:pPr>
        <w:tabs>
          <w:tab w:val="num" w:pos="2160"/>
        </w:tabs>
        <w:ind w:left="2160" w:hanging="360"/>
      </w:pPr>
      <w:rPr>
        <w:rFonts w:ascii="Arial" w:hAnsi="Arial" w:hint="default"/>
      </w:rPr>
    </w:lvl>
    <w:lvl w:ilvl="3" w:tplc="C228308A" w:tentative="1">
      <w:start w:val="1"/>
      <w:numFmt w:val="bullet"/>
      <w:lvlText w:val="•"/>
      <w:lvlJc w:val="left"/>
      <w:pPr>
        <w:tabs>
          <w:tab w:val="num" w:pos="2880"/>
        </w:tabs>
        <w:ind w:left="2880" w:hanging="360"/>
      </w:pPr>
      <w:rPr>
        <w:rFonts w:ascii="Arial" w:hAnsi="Arial" w:hint="default"/>
      </w:rPr>
    </w:lvl>
    <w:lvl w:ilvl="4" w:tplc="9BE4EB70" w:tentative="1">
      <w:start w:val="1"/>
      <w:numFmt w:val="bullet"/>
      <w:lvlText w:val="•"/>
      <w:lvlJc w:val="left"/>
      <w:pPr>
        <w:tabs>
          <w:tab w:val="num" w:pos="3600"/>
        </w:tabs>
        <w:ind w:left="3600" w:hanging="360"/>
      </w:pPr>
      <w:rPr>
        <w:rFonts w:ascii="Arial" w:hAnsi="Arial" w:hint="default"/>
      </w:rPr>
    </w:lvl>
    <w:lvl w:ilvl="5" w:tplc="B978B4E0" w:tentative="1">
      <w:start w:val="1"/>
      <w:numFmt w:val="bullet"/>
      <w:lvlText w:val="•"/>
      <w:lvlJc w:val="left"/>
      <w:pPr>
        <w:tabs>
          <w:tab w:val="num" w:pos="4320"/>
        </w:tabs>
        <w:ind w:left="4320" w:hanging="360"/>
      </w:pPr>
      <w:rPr>
        <w:rFonts w:ascii="Arial" w:hAnsi="Arial" w:hint="default"/>
      </w:rPr>
    </w:lvl>
    <w:lvl w:ilvl="6" w:tplc="68CCEC20" w:tentative="1">
      <w:start w:val="1"/>
      <w:numFmt w:val="bullet"/>
      <w:lvlText w:val="•"/>
      <w:lvlJc w:val="left"/>
      <w:pPr>
        <w:tabs>
          <w:tab w:val="num" w:pos="5040"/>
        </w:tabs>
        <w:ind w:left="5040" w:hanging="360"/>
      </w:pPr>
      <w:rPr>
        <w:rFonts w:ascii="Arial" w:hAnsi="Arial" w:hint="default"/>
      </w:rPr>
    </w:lvl>
    <w:lvl w:ilvl="7" w:tplc="4A563DB0" w:tentative="1">
      <w:start w:val="1"/>
      <w:numFmt w:val="bullet"/>
      <w:lvlText w:val="•"/>
      <w:lvlJc w:val="left"/>
      <w:pPr>
        <w:tabs>
          <w:tab w:val="num" w:pos="5760"/>
        </w:tabs>
        <w:ind w:left="5760" w:hanging="360"/>
      </w:pPr>
      <w:rPr>
        <w:rFonts w:ascii="Arial" w:hAnsi="Arial" w:hint="default"/>
      </w:rPr>
    </w:lvl>
    <w:lvl w:ilvl="8" w:tplc="0E308B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E4EC2"/>
    <w:multiLevelType w:val="hybridMultilevel"/>
    <w:tmpl w:val="3A88C72A"/>
    <w:lvl w:ilvl="0" w:tplc="21B687C2">
      <w:start w:val="1"/>
      <w:numFmt w:val="bullet"/>
      <w:lvlText w:val="•"/>
      <w:lvlJc w:val="left"/>
      <w:pPr>
        <w:tabs>
          <w:tab w:val="num" w:pos="720"/>
        </w:tabs>
        <w:ind w:left="720" w:hanging="360"/>
      </w:pPr>
      <w:rPr>
        <w:rFonts w:ascii="Arial" w:hAnsi="Arial" w:hint="default"/>
      </w:rPr>
    </w:lvl>
    <w:lvl w:ilvl="1" w:tplc="B64C262A">
      <w:start w:val="1"/>
      <w:numFmt w:val="bullet"/>
      <w:lvlText w:val="•"/>
      <w:lvlJc w:val="left"/>
      <w:pPr>
        <w:tabs>
          <w:tab w:val="num" w:pos="1440"/>
        </w:tabs>
        <w:ind w:left="1440" w:hanging="360"/>
      </w:pPr>
      <w:rPr>
        <w:rFonts w:ascii="Arial" w:hAnsi="Arial" w:hint="default"/>
      </w:rPr>
    </w:lvl>
    <w:lvl w:ilvl="2" w:tplc="8528DE4C" w:tentative="1">
      <w:start w:val="1"/>
      <w:numFmt w:val="bullet"/>
      <w:lvlText w:val="•"/>
      <w:lvlJc w:val="left"/>
      <w:pPr>
        <w:tabs>
          <w:tab w:val="num" w:pos="2160"/>
        </w:tabs>
        <w:ind w:left="2160" w:hanging="360"/>
      </w:pPr>
      <w:rPr>
        <w:rFonts w:ascii="Arial" w:hAnsi="Arial" w:hint="default"/>
      </w:rPr>
    </w:lvl>
    <w:lvl w:ilvl="3" w:tplc="AC3887AC" w:tentative="1">
      <w:start w:val="1"/>
      <w:numFmt w:val="bullet"/>
      <w:lvlText w:val="•"/>
      <w:lvlJc w:val="left"/>
      <w:pPr>
        <w:tabs>
          <w:tab w:val="num" w:pos="2880"/>
        </w:tabs>
        <w:ind w:left="2880" w:hanging="360"/>
      </w:pPr>
      <w:rPr>
        <w:rFonts w:ascii="Arial" w:hAnsi="Arial" w:hint="default"/>
      </w:rPr>
    </w:lvl>
    <w:lvl w:ilvl="4" w:tplc="78220B58" w:tentative="1">
      <w:start w:val="1"/>
      <w:numFmt w:val="bullet"/>
      <w:lvlText w:val="•"/>
      <w:lvlJc w:val="left"/>
      <w:pPr>
        <w:tabs>
          <w:tab w:val="num" w:pos="3600"/>
        </w:tabs>
        <w:ind w:left="3600" w:hanging="360"/>
      </w:pPr>
      <w:rPr>
        <w:rFonts w:ascii="Arial" w:hAnsi="Arial" w:hint="default"/>
      </w:rPr>
    </w:lvl>
    <w:lvl w:ilvl="5" w:tplc="AF70CE64" w:tentative="1">
      <w:start w:val="1"/>
      <w:numFmt w:val="bullet"/>
      <w:lvlText w:val="•"/>
      <w:lvlJc w:val="left"/>
      <w:pPr>
        <w:tabs>
          <w:tab w:val="num" w:pos="4320"/>
        </w:tabs>
        <w:ind w:left="4320" w:hanging="360"/>
      </w:pPr>
      <w:rPr>
        <w:rFonts w:ascii="Arial" w:hAnsi="Arial" w:hint="default"/>
      </w:rPr>
    </w:lvl>
    <w:lvl w:ilvl="6" w:tplc="5EBE184A" w:tentative="1">
      <w:start w:val="1"/>
      <w:numFmt w:val="bullet"/>
      <w:lvlText w:val="•"/>
      <w:lvlJc w:val="left"/>
      <w:pPr>
        <w:tabs>
          <w:tab w:val="num" w:pos="5040"/>
        </w:tabs>
        <w:ind w:left="5040" w:hanging="360"/>
      </w:pPr>
      <w:rPr>
        <w:rFonts w:ascii="Arial" w:hAnsi="Arial" w:hint="default"/>
      </w:rPr>
    </w:lvl>
    <w:lvl w:ilvl="7" w:tplc="3934E0AC" w:tentative="1">
      <w:start w:val="1"/>
      <w:numFmt w:val="bullet"/>
      <w:lvlText w:val="•"/>
      <w:lvlJc w:val="left"/>
      <w:pPr>
        <w:tabs>
          <w:tab w:val="num" w:pos="5760"/>
        </w:tabs>
        <w:ind w:left="5760" w:hanging="360"/>
      </w:pPr>
      <w:rPr>
        <w:rFonts w:ascii="Arial" w:hAnsi="Arial" w:hint="default"/>
      </w:rPr>
    </w:lvl>
    <w:lvl w:ilvl="8" w:tplc="BA8E8D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32397"/>
    <w:multiLevelType w:val="multilevel"/>
    <w:tmpl w:val="FBBE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7" w15:restartNumberingAfterBreak="0">
    <w:nsid w:val="5DE720BE"/>
    <w:multiLevelType w:val="hybridMultilevel"/>
    <w:tmpl w:val="7BE8EE98"/>
    <w:lvl w:ilvl="0" w:tplc="D442A19C">
      <w:start w:val="1"/>
      <w:numFmt w:val="bullet"/>
      <w:lvlText w:val="•"/>
      <w:lvlJc w:val="left"/>
      <w:pPr>
        <w:tabs>
          <w:tab w:val="num" w:pos="720"/>
        </w:tabs>
        <w:ind w:left="720" w:hanging="360"/>
      </w:pPr>
      <w:rPr>
        <w:rFonts w:ascii="Arial" w:hAnsi="Arial" w:hint="default"/>
      </w:rPr>
    </w:lvl>
    <w:lvl w:ilvl="1" w:tplc="872E5868">
      <w:start w:val="1"/>
      <w:numFmt w:val="bullet"/>
      <w:lvlText w:val="•"/>
      <w:lvlJc w:val="left"/>
      <w:pPr>
        <w:tabs>
          <w:tab w:val="num" w:pos="1440"/>
        </w:tabs>
        <w:ind w:left="1440" w:hanging="360"/>
      </w:pPr>
      <w:rPr>
        <w:rFonts w:ascii="Arial" w:hAnsi="Arial" w:hint="default"/>
      </w:rPr>
    </w:lvl>
    <w:lvl w:ilvl="2" w:tplc="1FB485CA" w:tentative="1">
      <w:start w:val="1"/>
      <w:numFmt w:val="bullet"/>
      <w:lvlText w:val="•"/>
      <w:lvlJc w:val="left"/>
      <w:pPr>
        <w:tabs>
          <w:tab w:val="num" w:pos="2160"/>
        </w:tabs>
        <w:ind w:left="2160" w:hanging="360"/>
      </w:pPr>
      <w:rPr>
        <w:rFonts w:ascii="Arial" w:hAnsi="Arial" w:hint="default"/>
      </w:rPr>
    </w:lvl>
    <w:lvl w:ilvl="3" w:tplc="3A3EDA60" w:tentative="1">
      <w:start w:val="1"/>
      <w:numFmt w:val="bullet"/>
      <w:lvlText w:val="•"/>
      <w:lvlJc w:val="left"/>
      <w:pPr>
        <w:tabs>
          <w:tab w:val="num" w:pos="2880"/>
        </w:tabs>
        <w:ind w:left="2880" w:hanging="360"/>
      </w:pPr>
      <w:rPr>
        <w:rFonts w:ascii="Arial" w:hAnsi="Arial" w:hint="default"/>
      </w:rPr>
    </w:lvl>
    <w:lvl w:ilvl="4" w:tplc="208E627A" w:tentative="1">
      <w:start w:val="1"/>
      <w:numFmt w:val="bullet"/>
      <w:lvlText w:val="•"/>
      <w:lvlJc w:val="left"/>
      <w:pPr>
        <w:tabs>
          <w:tab w:val="num" w:pos="3600"/>
        </w:tabs>
        <w:ind w:left="3600" w:hanging="360"/>
      </w:pPr>
      <w:rPr>
        <w:rFonts w:ascii="Arial" w:hAnsi="Arial" w:hint="default"/>
      </w:rPr>
    </w:lvl>
    <w:lvl w:ilvl="5" w:tplc="5C84C584" w:tentative="1">
      <w:start w:val="1"/>
      <w:numFmt w:val="bullet"/>
      <w:lvlText w:val="•"/>
      <w:lvlJc w:val="left"/>
      <w:pPr>
        <w:tabs>
          <w:tab w:val="num" w:pos="4320"/>
        </w:tabs>
        <w:ind w:left="4320" w:hanging="360"/>
      </w:pPr>
      <w:rPr>
        <w:rFonts w:ascii="Arial" w:hAnsi="Arial" w:hint="default"/>
      </w:rPr>
    </w:lvl>
    <w:lvl w:ilvl="6" w:tplc="D47E6E3C" w:tentative="1">
      <w:start w:val="1"/>
      <w:numFmt w:val="bullet"/>
      <w:lvlText w:val="•"/>
      <w:lvlJc w:val="left"/>
      <w:pPr>
        <w:tabs>
          <w:tab w:val="num" w:pos="5040"/>
        </w:tabs>
        <w:ind w:left="5040" w:hanging="360"/>
      </w:pPr>
      <w:rPr>
        <w:rFonts w:ascii="Arial" w:hAnsi="Arial" w:hint="default"/>
      </w:rPr>
    </w:lvl>
    <w:lvl w:ilvl="7" w:tplc="75C0A070" w:tentative="1">
      <w:start w:val="1"/>
      <w:numFmt w:val="bullet"/>
      <w:lvlText w:val="•"/>
      <w:lvlJc w:val="left"/>
      <w:pPr>
        <w:tabs>
          <w:tab w:val="num" w:pos="5760"/>
        </w:tabs>
        <w:ind w:left="5760" w:hanging="360"/>
      </w:pPr>
      <w:rPr>
        <w:rFonts w:ascii="Arial" w:hAnsi="Arial" w:hint="default"/>
      </w:rPr>
    </w:lvl>
    <w:lvl w:ilvl="8" w:tplc="583A38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4092E"/>
    <w:multiLevelType w:val="hybridMultilevel"/>
    <w:tmpl w:val="9E8A8B36"/>
    <w:lvl w:ilvl="0" w:tplc="176CD000">
      <w:start w:val="1"/>
      <w:numFmt w:val="bullet"/>
      <w:lvlText w:val="•"/>
      <w:lvlJc w:val="left"/>
      <w:pPr>
        <w:tabs>
          <w:tab w:val="num" w:pos="720"/>
        </w:tabs>
        <w:ind w:left="720" w:hanging="360"/>
      </w:pPr>
      <w:rPr>
        <w:rFonts w:ascii="Arial" w:hAnsi="Arial" w:hint="default"/>
      </w:rPr>
    </w:lvl>
    <w:lvl w:ilvl="1" w:tplc="4FAAB150">
      <w:start w:val="1"/>
      <w:numFmt w:val="bullet"/>
      <w:lvlText w:val="•"/>
      <w:lvlJc w:val="left"/>
      <w:pPr>
        <w:tabs>
          <w:tab w:val="num" w:pos="1440"/>
        </w:tabs>
        <w:ind w:left="1440" w:hanging="360"/>
      </w:pPr>
      <w:rPr>
        <w:rFonts w:ascii="Arial" w:hAnsi="Arial" w:hint="default"/>
      </w:rPr>
    </w:lvl>
    <w:lvl w:ilvl="2" w:tplc="BB6A8ACA">
      <w:start w:val="14604"/>
      <w:numFmt w:val="bullet"/>
      <w:lvlText w:val="•"/>
      <w:lvlJc w:val="left"/>
      <w:pPr>
        <w:tabs>
          <w:tab w:val="num" w:pos="2160"/>
        </w:tabs>
        <w:ind w:left="2160" w:hanging="360"/>
      </w:pPr>
      <w:rPr>
        <w:rFonts w:ascii="Arial" w:hAnsi="Arial" w:hint="default"/>
      </w:rPr>
    </w:lvl>
    <w:lvl w:ilvl="3" w:tplc="D4349092">
      <w:start w:val="14604"/>
      <w:numFmt w:val="bullet"/>
      <w:lvlText w:val="•"/>
      <w:lvlJc w:val="left"/>
      <w:pPr>
        <w:tabs>
          <w:tab w:val="num" w:pos="2880"/>
        </w:tabs>
        <w:ind w:left="2880" w:hanging="360"/>
      </w:pPr>
      <w:rPr>
        <w:rFonts w:ascii="Arial" w:hAnsi="Arial" w:hint="default"/>
      </w:rPr>
    </w:lvl>
    <w:lvl w:ilvl="4" w:tplc="CED66C4E">
      <w:start w:val="1"/>
      <w:numFmt w:val="bullet"/>
      <w:lvlText w:val="•"/>
      <w:lvlJc w:val="left"/>
      <w:pPr>
        <w:tabs>
          <w:tab w:val="num" w:pos="3600"/>
        </w:tabs>
        <w:ind w:left="3600" w:hanging="360"/>
      </w:pPr>
      <w:rPr>
        <w:rFonts w:ascii="Arial" w:hAnsi="Arial" w:hint="default"/>
      </w:rPr>
    </w:lvl>
    <w:lvl w:ilvl="5" w:tplc="7F686012" w:tentative="1">
      <w:start w:val="1"/>
      <w:numFmt w:val="bullet"/>
      <w:lvlText w:val="•"/>
      <w:lvlJc w:val="left"/>
      <w:pPr>
        <w:tabs>
          <w:tab w:val="num" w:pos="4320"/>
        </w:tabs>
        <w:ind w:left="4320" w:hanging="360"/>
      </w:pPr>
      <w:rPr>
        <w:rFonts w:ascii="Arial" w:hAnsi="Arial" w:hint="default"/>
      </w:rPr>
    </w:lvl>
    <w:lvl w:ilvl="6" w:tplc="133C4822" w:tentative="1">
      <w:start w:val="1"/>
      <w:numFmt w:val="bullet"/>
      <w:lvlText w:val="•"/>
      <w:lvlJc w:val="left"/>
      <w:pPr>
        <w:tabs>
          <w:tab w:val="num" w:pos="5040"/>
        </w:tabs>
        <w:ind w:left="5040" w:hanging="360"/>
      </w:pPr>
      <w:rPr>
        <w:rFonts w:ascii="Arial" w:hAnsi="Arial" w:hint="default"/>
      </w:rPr>
    </w:lvl>
    <w:lvl w:ilvl="7" w:tplc="B3347032" w:tentative="1">
      <w:start w:val="1"/>
      <w:numFmt w:val="bullet"/>
      <w:lvlText w:val="•"/>
      <w:lvlJc w:val="left"/>
      <w:pPr>
        <w:tabs>
          <w:tab w:val="num" w:pos="5760"/>
        </w:tabs>
        <w:ind w:left="5760" w:hanging="360"/>
      </w:pPr>
      <w:rPr>
        <w:rFonts w:ascii="Arial" w:hAnsi="Arial" w:hint="default"/>
      </w:rPr>
    </w:lvl>
    <w:lvl w:ilvl="8" w:tplc="985CA9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8C6465A"/>
    <w:multiLevelType w:val="hybridMultilevel"/>
    <w:tmpl w:val="592EBD08"/>
    <w:lvl w:ilvl="0" w:tplc="518E0348">
      <w:start w:val="1"/>
      <w:numFmt w:val="bullet"/>
      <w:lvlText w:val="o"/>
      <w:lvlJc w:val="left"/>
      <w:pPr>
        <w:tabs>
          <w:tab w:val="num" w:pos="720"/>
        </w:tabs>
        <w:ind w:left="720" w:hanging="360"/>
      </w:pPr>
      <w:rPr>
        <w:rFonts w:ascii="Courier New" w:hAnsi="Courier New" w:hint="default"/>
      </w:rPr>
    </w:lvl>
    <w:lvl w:ilvl="1" w:tplc="55AE4906">
      <w:start w:val="10476"/>
      <w:numFmt w:val="bullet"/>
      <w:lvlText w:val="•"/>
      <w:lvlJc w:val="left"/>
      <w:pPr>
        <w:tabs>
          <w:tab w:val="num" w:pos="1440"/>
        </w:tabs>
        <w:ind w:left="1440" w:hanging="360"/>
      </w:pPr>
      <w:rPr>
        <w:rFonts w:ascii="Arial" w:hAnsi="Arial" w:hint="default"/>
      </w:rPr>
    </w:lvl>
    <w:lvl w:ilvl="2" w:tplc="EBA499A2">
      <w:start w:val="10476"/>
      <w:numFmt w:val="bullet"/>
      <w:lvlText w:val=""/>
      <w:lvlJc w:val="left"/>
      <w:pPr>
        <w:tabs>
          <w:tab w:val="num" w:pos="2160"/>
        </w:tabs>
        <w:ind w:left="2160" w:hanging="360"/>
      </w:pPr>
      <w:rPr>
        <w:rFonts w:ascii="Wingdings" w:hAnsi="Wingdings" w:hint="default"/>
      </w:rPr>
    </w:lvl>
    <w:lvl w:ilvl="3" w:tplc="5400FD2E" w:tentative="1">
      <w:start w:val="1"/>
      <w:numFmt w:val="bullet"/>
      <w:lvlText w:val="o"/>
      <w:lvlJc w:val="left"/>
      <w:pPr>
        <w:tabs>
          <w:tab w:val="num" w:pos="2880"/>
        </w:tabs>
        <w:ind w:left="2880" w:hanging="360"/>
      </w:pPr>
      <w:rPr>
        <w:rFonts w:ascii="Courier New" w:hAnsi="Courier New" w:hint="default"/>
      </w:rPr>
    </w:lvl>
    <w:lvl w:ilvl="4" w:tplc="538ECEBC" w:tentative="1">
      <w:start w:val="1"/>
      <w:numFmt w:val="bullet"/>
      <w:lvlText w:val="o"/>
      <w:lvlJc w:val="left"/>
      <w:pPr>
        <w:tabs>
          <w:tab w:val="num" w:pos="3600"/>
        </w:tabs>
        <w:ind w:left="3600" w:hanging="360"/>
      </w:pPr>
      <w:rPr>
        <w:rFonts w:ascii="Courier New" w:hAnsi="Courier New" w:hint="default"/>
      </w:rPr>
    </w:lvl>
    <w:lvl w:ilvl="5" w:tplc="B9823EAC" w:tentative="1">
      <w:start w:val="1"/>
      <w:numFmt w:val="bullet"/>
      <w:lvlText w:val="o"/>
      <w:lvlJc w:val="left"/>
      <w:pPr>
        <w:tabs>
          <w:tab w:val="num" w:pos="4320"/>
        </w:tabs>
        <w:ind w:left="4320" w:hanging="360"/>
      </w:pPr>
      <w:rPr>
        <w:rFonts w:ascii="Courier New" w:hAnsi="Courier New" w:hint="default"/>
      </w:rPr>
    </w:lvl>
    <w:lvl w:ilvl="6" w:tplc="DEC84696" w:tentative="1">
      <w:start w:val="1"/>
      <w:numFmt w:val="bullet"/>
      <w:lvlText w:val="o"/>
      <w:lvlJc w:val="left"/>
      <w:pPr>
        <w:tabs>
          <w:tab w:val="num" w:pos="5040"/>
        </w:tabs>
        <w:ind w:left="5040" w:hanging="360"/>
      </w:pPr>
      <w:rPr>
        <w:rFonts w:ascii="Courier New" w:hAnsi="Courier New" w:hint="default"/>
      </w:rPr>
    </w:lvl>
    <w:lvl w:ilvl="7" w:tplc="54CA43EE" w:tentative="1">
      <w:start w:val="1"/>
      <w:numFmt w:val="bullet"/>
      <w:lvlText w:val="o"/>
      <w:lvlJc w:val="left"/>
      <w:pPr>
        <w:tabs>
          <w:tab w:val="num" w:pos="5760"/>
        </w:tabs>
        <w:ind w:left="5760" w:hanging="360"/>
      </w:pPr>
      <w:rPr>
        <w:rFonts w:ascii="Courier New" w:hAnsi="Courier New" w:hint="default"/>
      </w:rPr>
    </w:lvl>
    <w:lvl w:ilvl="8" w:tplc="651AF45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2F311A"/>
    <w:multiLevelType w:val="hybridMultilevel"/>
    <w:tmpl w:val="E3FE4284"/>
    <w:lvl w:ilvl="0" w:tplc="3E70E422">
      <w:start w:val="1"/>
      <w:numFmt w:val="bullet"/>
      <w:lvlText w:val="●"/>
      <w:lvlJc w:val="left"/>
      <w:pPr>
        <w:tabs>
          <w:tab w:val="num" w:pos="720"/>
        </w:tabs>
        <w:ind w:left="720" w:hanging="360"/>
      </w:pPr>
      <w:rPr>
        <w:rFonts w:ascii="Calibri" w:hAnsi="Calibri" w:hint="default"/>
      </w:rPr>
    </w:lvl>
    <w:lvl w:ilvl="1" w:tplc="93B2A17C">
      <w:start w:val="1"/>
      <w:numFmt w:val="bullet"/>
      <w:lvlText w:val="●"/>
      <w:lvlJc w:val="left"/>
      <w:pPr>
        <w:tabs>
          <w:tab w:val="num" w:pos="1440"/>
        </w:tabs>
        <w:ind w:left="1440" w:hanging="360"/>
      </w:pPr>
      <w:rPr>
        <w:rFonts w:ascii="Calibri" w:hAnsi="Calibri" w:hint="default"/>
      </w:rPr>
    </w:lvl>
    <w:lvl w:ilvl="2" w:tplc="C1F2EF0A">
      <w:numFmt w:val="bullet"/>
      <w:lvlText w:val="－"/>
      <w:lvlJc w:val="left"/>
      <w:pPr>
        <w:tabs>
          <w:tab w:val="num" w:pos="2160"/>
        </w:tabs>
        <w:ind w:left="2160" w:hanging="360"/>
      </w:pPr>
      <w:rPr>
        <w:rFonts w:ascii="宋体" w:hAnsi="宋体" w:hint="default"/>
      </w:rPr>
    </w:lvl>
    <w:lvl w:ilvl="3" w:tplc="0E46E20A">
      <w:numFmt w:val="bullet"/>
      <w:lvlText w:val="–"/>
      <w:lvlJc w:val="left"/>
      <w:pPr>
        <w:tabs>
          <w:tab w:val="num" w:pos="2880"/>
        </w:tabs>
        <w:ind w:left="2880" w:hanging="360"/>
      </w:pPr>
      <w:rPr>
        <w:rFonts w:ascii="宋体" w:hAnsi="宋体" w:hint="default"/>
      </w:rPr>
    </w:lvl>
    <w:lvl w:ilvl="4" w:tplc="55EA801A" w:tentative="1">
      <w:start w:val="1"/>
      <w:numFmt w:val="bullet"/>
      <w:lvlText w:val="●"/>
      <w:lvlJc w:val="left"/>
      <w:pPr>
        <w:tabs>
          <w:tab w:val="num" w:pos="3600"/>
        </w:tabs>
        <w:ind w:left="3600" w:hanging="360"/>
      </w:pPr>
      <w:rPr>
        <w:rFonts w:ascii="Calibri" w:hAnsi="Calibri" w:hint="default"/>
      </w:rPr>
    </w:lvl>
    <w:lvl w:ilvl="5" w:tplc="FE7677DE" w:tentative="1">
      <w:start w:val="1"/>
      <w:numFmt w:val="bullet"/>
      <w:lvlText w:val="●"/>
      <w:lvlJc w:val="left"/>
      <w:pPr>
        <w:tabs>
          <w:tab w:val="num" w:pos="4320"/>
        </w:tabs>
        <w:ind w:left="4320" w:hanging="360"/>
      </w:pPr>
      <w:rPr>
        <w:rFonts w:ascii="Calibri" w:hAnsi="Calibri" w:hint="default"/>
      </w:rPr>
    </w:lvl>
    <w:lvl w:ilvl="6" w:tplc="105E5DAA" w:tentative="1">
      <w:start w:val="1"/>
      <w:numFmt w:val="bullet"/>
      <w:lvlText w:val="●"/>
      <w:lvlJc w:val="left"/>
      <w:pPr>
        <w:tabs>
          <w:tab w:val="num" w:pos="5040"/>
        </w:tabs>
        <w:ind w:left="5040" w:hanging="360"/>
      </w:pPr>
      <w:rPr>
        <w:rFonts w:ascii="Calibri" w:hAnsi="Calibri" w:hint="default"/>
      </w:rPr>
    </w:lvl>
    <w:lvl w:ilvl="7" w:tplc="CB10C4C4" w:tentative="1">
      <w:start w:val="1"/>
      <w:numFmt w:val="bullet"/>
      <w:lvlText w:val="●"/>
      <w:lvlJc w:val="left"/>
      <w:pPr>
        <w:tabs>
          <w:tab w:val="num" w:pos="5760"/>
        </w:tabs>
        <w:ind w:left="5760" w:hanging="360"/>
      </w:pPr>
      <w:rPr>
        <w:rFonts w:ascii="Calibri" w:hAnsi="Calibri" w:hint="default"/>
      </w:rPr>
    </w:lvl>
    <w:lvl w:ilvl="8" w:tplc="075CCA4C"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F537133"/>
    <w:multiLevelType w:val="hybridMultilevel"/>
    <w:tmpl w:val="F6FE30DC"/>
    <w:lvl w:ilvl="0" w:tplc="C6263E72">
      <w:start w:val="1"/>
      <w:numFmt w:val="bullet"/>
      <w:lvlText w:val="•"/>
      <w:lvlJc w:val="left"/>
      <w:pPr>
        <w:tabs>
          <w:tab w:val="num" w:pos="720"/>
        </w:tabs>
        <w:ind w:left="720" w:hanging="360"/>
      </w:pPr>
      <w:rPr>
        <w:rFonts w:ascii="Arial" w:hAnsi="Arial" w:hint="default"/>
      </w:rPr>
    </w:lvl>
    <w:lvl w:ilvl="1" w:tplc="FBA47EB0">
      <w:start w:val="1"/>
      <w:numFmt w:val="bullet"/>
      <w:lvlText w:val="•"/>
      <w:lvlJc w:val="left"/>
      <w:pPr>
        <w:tabs>
          <w:tab w:val="num" w:pos="1440"/>
        </w:tabs>
        <w:ind w:left="1440" w:hanging="360"/>
      </w:pPr>
      <w:rPr>
        <w:rFonts w:ascii="Arial" w:hAnsi="Arial" w:hint="default"/>
      </w:rPr>
    </w:lvl>
    <w:lvl w:ilvl="2" w:tplc="97FE5296">
      <w:start w:val="14604"/>
      <w:numFmt w:val="bullet"/>
      <w:lvlText w:val="•"/>
      <w:lvlJc w:val="left"/>
      <w:pPr>
        <w:tabs>
          <w:tab w:val="num" w:pos="2160"/>
        </w:tabs>
        <w:ind w:left="2160" w:hanging="360"/>
      </w:pPr>
      <w:rPr>
        <w:rFonts w:ascii="Arial" w:hAnsi="Arial" w:hint="default"/>
      </w:rPr>
    </w:lvl>
    <w:lvl w:ilvl="3" w:tplc="B1A6D302">
      <w:start w:val="14604"/>
      <w:numFmt w:val="bullet"/>
      <w:lvlText w:val="•"/>
      <w:lvlJc w:val="left"/>
      <w:pPr>
        <w:tabs>
          <w:tab w:val="num" w:pos="2880"/>
        </w:tabs>
        <w:ind w:left="2880" w:hanging="360"/>
      </w:pPr>
      <w:rPr>
        <w:rFonts w:ascii="Arial" w:hAnsi="Arial" w:hint="default"/>
      </w:rPr>
    </w:lvl>
    <w:lvl w:ilvl="4" w:tplc="8ABCF4C2" w:tentative="1">
      <w:start w:val="1"/>
      <w:numFmt w:val="bullet"/>
      <w:lvlText w:val="•"/>
      <w:lvlJc w:val="left"/>
      <w:pPr>
        <w:tabs>
          <w:tab w:val="num" w:pos="3600"/>
        </w:tabs>
        <w:ind w:left="3600" w:hanging="360"/>
      </w:pPr>
      <w:rPr>
        <w:rFonts w:ascii="Arial" w:hAnsi="Arial" w:hint="default"/>
      </w:rPr>
    </w:lvl>
    <w:lvl w:ilvl="5" w:tplc="79AE7B9C" w:tentative="1">
      <w:start w:val="1"/>
      <w:numFmt w:val="bullet"/>
      <w:lvlText w:val="•"/>
      <w:lvlJc w:val="left"/>
      <w:pPr>
        <w:tabs>
          <w:tab w:val="num" w:pos="4320"/>
        </w:tabs>
        <w:ind w:left="4320" w:hanging="360"/>
      </w:pPr>
      <w:rPr>
        <w:rFonts w:ascii="Arial" w:hAnsi="Arial" w:hint="default"/>
      </w:rPr>
    </w:lvl>
    <w:lvl w:ilvl="6" w:tplc="81D2F32A" w:tentative="1">
      <w:start w:val="1"/>
      <w:numFmt w:val="bullet"/>
      <w:lvlText w:val="•"/>
      <w:lvlJc w:val="left"/>
      <w:pPr>
        <w:tabs>
          <w:tab w:val="num" w:pos="5040"/>
        </w:tabs>
        <w:ind w:left="5040" w:hanging="360"/>
      </w:pPr>
      <w:rPr>
        <w:rFonts w:ascii="Arial" w:hAnsi="Arial" w:hint="default"/>
      </w:rPr>
    </w:lvl>
    <w:lvl w:ilvl="7" w:tplc="20D845F2" w:tentative="1">
      <w:start w:val="1"/>
      <w:numFmt w:val="bullet"/>
      <w:lvlText w:val="•"/>
      <w:lvlJc w:val="left"/>
      <w:pPr>
        <w:tabs>
          <w:tab w:val="num" w:pos="5760"/>
        </w:tabs>
        <w:ind w:left="5760" w:hanging="360"/>
      </w:pPr>
      <w:rPr>
        <w:rFonts w:ascii="Arial" w:hAnsi="Arial" w:hint="default"/>
      </w:rPr>
    </w:lvl>
    <w:lvl w:ilvl="8" w:tplc="E8F4791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541F58"/>
    <w:multiLevelType w:val="hybridMultilevel"/>
    <w:tmpl w:val="5894BD84"/>
    <w:lvl w:ilvl="0" w:tplc="EE46A9A8">
      <w:start w:val="1"/>
      <w:numFmt w:val="bullet"/>
      <w:lvlText w:val="•"/>
      <w:lvlJc w:val="left"/>
      <w:pPr>
        <w:tabs>
          <w:tab w:val="num" w:pos="720"/>
        </w:tabs>
        <w:ind w:left="720" w:hanging="360"/>
      </w:pPr>
      <w:rPr>
        <w:rFonts w:ascii="Arial" w:hAnsi="Arial" w:hint="default"/>
      </w:rPr>
    </w:lvl>
    <w:lvl w:ilvl="1" w:tplc="3F983E84" w:tentative="1">
      <w:start w:val="1"/>
      <w:numFmt w:val="bullet"/>
      <w:lvlText w:val="•"/>
      <w:lvlJc w:val="left"/>
      <w:pPr>
        <w:tabs>
          <w:tab w:val="num" w:pos="1440"/>
        </w:tabs>
        <w:ind w:left="1440" w:hanging="360"/>
      </w:pPr>
      <w:rPr>
        <w:rFonts w:ascii="Arial" w:hAnsi="Arial" w:hint="default"/>
      </w:rPr>
    </w:lvl>
    <w:lvl w:ilvl="2" w:tplc="C16251EC">
      <w:start w:val="1"/>
      <w:numFmt w:val="bullet"/>
      <w:lvlText w:val="•"/>
      <w:lvlJc w:val="left"/>
      <w:pPr>
        <w:tabs>
          <w:tab w:val="num" w:pos="2160"/>
        </w:tabs>
        <w:ind w:left="2160" w:hanging="360"/>
      </w:pPr>
      <w:rPr>
        <w:rFonts w:ascii="Arial" w:hAnsi="Arial" w:hint="default"/>
      </w:rPr>
    </w:lvl>
    <w:lvl w:ilvl="3" w:tplc="4EE40E58" w:tentative="1">
      <w:start w:val="1"/>
      <w:numFmt w:val="bullet"/>
      <w:lvlText w:val="•"/>
      <w:lvlJc w:val="left"/>
      <w:pPr>
        <w:tabs>
          <w:tab w:val="num" w:pos="2880"/>
        </w:tabs>
        <w:ind w:left="2880" w:hanging="360"/>
      </w:pPr>
      <w:rPr>
        <w:rFonts w:ascii="Arial" w:hAnsi="Arial" w:hint="default"/>
      </w:rPr>
    </w:lvl>
    <w:lvl w:ilvl="4" w:tplc="8D80D214" w:tentative="1">
      <w:start w:val="1"/>
      <w:numFmt w:val="bullet"/>
      <w:lvlText w:val="•"/>
      <w:lvlJc w:val="left"/>
      <w:pPr>
        <w:tabs>
          <w:tab w:val="num" w:pos="3600"/>
        </w:tabs>
        <w:ind w:left="3600" w:hanging="360"/>
      </w:pPr>
      <w:rPr>
        <w:rFonts w:ascii="Arial" w:hAnsi="Arial" w:hint="default"/>
      </w:rPr>
    </w:lvl>
    <w:lvl w:ilvl="5" w:tplc="F16A3844" w:tentative="1">
      <w:start w:val="1"/>
      <w:numFmt w:val="bullet"/>
      <w:lvlText w:val="•"/>
      <w:lvlJc w:val="left"/>
      <w:pPr>
        <w:tabs>
          <w:tab w:val="num" w:pos="4320"/>
        </w:tabs>
        <w:ind w:left="4320" w:hanging="360"/>
      </w:pPr>
      <w:rPr>
        <w:rFonts w:ascii="Arial" w:hAnsi="Arial" w:hint="default"/>
      </w:rPr>
    </w:lvl>
    <w:lvl w:ilvl="6" w:tplc="F71EC36C" w:tentative="1">
      <w:start w:val="1"/>
      <w:numFmt w:val="bullet"/>
      <w:lvlText w:val="•"/>
      <w:lvlJc w:val="left"/>
      <w:pPr>
        <w:tabs>
          <w:tab w:val="num" w:pos="5040"/>
        </w:tabs>
        <w:ind w:left="5040" w:hanging="360"/>
      </w:pPr>
      <w:rPr>
        <w:rFonts w:ascii="Arial" w:hAnsi="Arial" w:hint="default"/>
      </w:rPr>
    </w:lvl>
    <w:lvl w:ilvl="7" w:tplc="C38089D6" w:tentative="1">
      <w:start w:val="1"/>
      <w:numFmt w:val="bullet"/>
      <w:lvlText w:val="•"/>
      <w:lvlJc w:val="left"/>
      <w:pPr>
        <w:tabs>
          <w:tab w:val="num" w:pos="5760"/>
        </w:tabs>
        <w:ind w:left="5760" w:hanging="360"/>
      </w:pPr>
      <w:rPr>
        <w:rFonts w:ascii="Arial" w:hAnsi="Arial" w:hint="default"/>
      </w:rPr>
    </w:lvl>
    <w:lvl w:ilvl="8" w:tplc="527E32BA"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2"/>
  </w:num>
  <w:num w:numId="4">
    <w:abstractNumId w:val="4"/>
  </w:num>
  <w:num w:numId="5">
    <w:abstractNumId w:val="7"/>
  </w:num>
  <w:num w:numId="6">
    <w:abstractNumId w:val="1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8"/>
  </w:num>
  <w:num w:numId="10">
    <w:abstractNumId w:val="33"/>
  </w:num>
  <w:num w:numId="11">
    <w:abstractNumId w:val="21"/>
  </w:num>
  <w:num w:numId="12">
    <w:abstractNumId w:val="5"/>
  </w:num>
  <w:num w:numId="13">
    <w:abstractNumId w:val="30"/>
  </w:num>
  <w:num w:numId="14">
    <w:abstractNumId w:val="6"/>
  </w:num>
  <w:num w:numId="15">
    <w:abstractNumId w:val="10"/>
  </w:num>
  <w:num w:numId="16">
    <w:abstractNumId w:val="19"/>
  </w:num>
  <w:num w:numId="17">
    <w:abstractNumId w:val="20"/>
  </w:num>
  <w:num w:numId="18">
    <w:abstractNumId w:val="8"/>
  </w:num>
  <w:num w:numId="19">
    <w:abstractNumId w:val="12"/>
  </w:num>
  <w:num w:numId="20">
    <w:abstractNumId w:val="11"/>
  </w:num>
  <w:num w:numId="21">
    <w:abstractNumId w:val="0"/>
    <w:lvlOverride w:ilvl="0"/>
  </w:num>
  <w:num w:numId="22">
    <w:abstractNumId w:val="22"/>
  </w:num>
  <w:num w:numId="23">
    <w:abstractNumId w:val="3"/>
    <w:lvlOverride w:ilvl="0">
      <w:startOverride w:val="1"/>
    </w:lvlOverride>
  </w:num>
  <w:num w:numId="24">
    <w:abstractNumId w:val="31"/>
  </w:num>
  <w:num w:numId="25">
    <w:abstractNumId w:val="14"/>
  </w:num>
  <w:num w:numId="26">
    <w:abstractNumId w:val="23"/>
    <w:lvlOverride w:ilvl="0"/>
    <w:lvlOverride w:ilvl="1"/>
    <w:lvlOverride w:ilvl="2"/>
    <w:lvlOverride w:ilvl="3"/>
    <w:lvlOverride w:ilvl="4"/>
    <w:lvlOverride w:ilvl="5"/>
    <w:lvlOverride w:ilvl="6"/>
    <w:lvlOverride w:ilvl="7"/>
    <w:lvlOverride w:ilvl="8"/>
  </w:num>
  <w:num w:numId="27">
    <w:abstractNumId w:val="13"/>
    <w:lvlOverride w:ilvl="0"/>
    <w:lvlOverride w:ilvl="1"/>
    <w:lvlOverride w:ilvl="2"/>
    <w:lvlOverride w:ilvl="3"/>
    <w:lvlOverride w:ilvl="4"/>
    <w:lvlOverride w:ilvl="5"/>
    <w:lvlOverride w:ilvl="6"/>
    <w:lvlOverride w:ilvl="7"/>
    <w:lvlOverride w:ilvl="8"/>
  </w:num>
  <w:num w:numId="28">
    <w:abstractNumId w:val="9"/>
  </w:num>
  <w:num w:numId="29">
    <w:abstractNumId w:val="32"/>
  </w:num>
  <w:num w:numId="30">
    <w:abstractNumId w:val="26"/>
    <w:lvlOverride w:ilvl="0"/>
    <w:lvlOverride w:ilvl="1"/>
    <w:lvlOverride w:ilvl="2"/>
    <w:lvlOverride w:ilvl="3"/>
    <w:lvlOverride w:ilvl="4"/>
    <w:lvlOverride w:ilvl="5"/>
    <w:lvlOverride w:ilvl="6"/>
    <w:lvlOverride w:ilvl="7"/>
    <w:lvlOverride w:ilvl="8"/>
  </w:num>
  <w:num w:numId="31">
    <w:abstractNumId w:val="18"/>
    <w:lvlOverride w:ilvl="0"/>
    <w:lvlOverride w:ilvl="1"/>
    <w:lvlOverride w:ilvl="2"/>
    <w:lvlOverride w:ilvl="3"/>
    <w:lvlOverride w:ilvl="4"/>
    <w:lvlOverride w:ilvl="5"/>
    <w:lvlOverride w:ilvl="6"/>
    <w:lvlOverride w:ilvl="7"/>
    <w:lvlOverride w:ilvl="8"/>
  </w:num>
  <w:num w:numId="32">
    <w:abstractNumId w:val="1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lvlOverride w:ilvl="2"/>
    <w:lvlOverride w:ilvl="3"/>
    <w:lvlOverride w:ilvl="4"/>
    <w:lvlOverride w:ilvl="5"/>
    <w:lvlOverride w:ilvl="6"/>
    <w:lvlOverride w:ilvl="7"/>
    <w:lvlOverride w:ilvl="8"/>
  </w:num>
  <w:num w:numId="34">
    <w:abstractNumId w:val="29"/>
    <w:lvlOverride w:ilvl="0"/>
    <w:lvlOverride w:ilvl="1"/>
    <w:lvlOverride w:ilvl="2"/>
    <w:lvlOverride w:ilvl="3"/>
    <w:lvlOverride w:ilvl="4"/>
    <w:lvlOverride w:ilvl="5"/>
    <w:lvlOverride w:ilvl="6"/>
    <w:lvlOverride w:ilvl="7"/>
    <w:lvlOverride w:ilvl="8"/>
  </w:num>
  <w:num w:numId="35">
    <w:abstractNumId w:val="25"/>
    <w:lvlOverride w:ilvl="0"/>
    <w:lvlOverride w:ilvl="1"/>
    <w:lvlOverride w:ilvl="2"/>
    <w:lvlOverride w:ilvl="3"/>
    <w:lvlOverride w:ilvl="4"/>
    <w:lvlOverride w:ilvl="5"/>
    <w:lvlOverride w:ilvl="6"/>
    <w:lvlOverride w:ilvl="7"/>
    <w:lvlOverride w:ilvl="8"/>
  </w:num>
  <w:num w:numId="36">
    <w:abstractNumId w:val="2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33"/>
    <w:rsid w:val="00001F42"/>
    <w:rsid w:val="00003EAB"/>
    <w:rsid w:val="00010CBF"/>
    <w:rsid w:val="000111E6"/>
    <w:rsid w:val="00011903"/>
    <w:rsid w:val="00012418"/>
    <w:rsid w:val="00014F31"/>
    <w:rsid w:val="00022E4A"/>
    <w:rsid w:val="00023485"/>
    <w:rsid w:val="00024607"/>
    <w:rsid w:val="00026E46"/>
    <w:rsid w:val="0003019E"/>
    <w:rsid w:val="000325D6"/>
    <w:rsid w:val="00032BF6"/>
    <w:rsid w:val="00035785"/>
    <w:rsid w:val="00035D3C"/>
    <w:rsid w:val="000416A3"/>
    <w:rsid w:val="000429BD"/>
    <w:rsid w:val="00043473"/>
    <w:rsid w:val="000440EC"/>
    <w:rsid w:val="00044480"/>
    <w:rsid w:val="0004523E"/>
    <w:rsid w:val="000475FA"/>
    <w:rsid w:val="000556FC"/>
    <w:rsid w:val="00055946"/>
    <w:rsid w:val="000643C1"/>
    <w:rsid w:val="0006594E"/>
    <w:rsid w:val="00067E7F"/>
    <w:rsid w:val="00070D3B"/>
    <w:rsid w:val="00071E8B"/>
    <w:rsid w:val="000723CA"/>
    <w:rsid w:val="000734D6"/>
    <w:rsid w:val="00074E7A"/>
    <w:rsid w:val="0007529D"/>
    <w:rsid w:val="000803E8"/>
    <w:rsid w:val="00084390"/>
    <w:rsid w:val="00093832"/>
    <w:rsid w:val="00097BE0"/>
    <w:rsid w:val="000A5BF6"/>
    <w:rsid w:val="000A6394"/>
    <w:rsid w:val="000B0BF3"/>
    <w:rsid w:val="000B321A"/>
    <w:rsid w:val="000B554A"/>
    <w:rsid w:val="000B55EA"/>
    <w:rsid w:val="000C031D"/>
    <w:rsid w:val="000C038A"/>
    <w:rsid w:val="000C1A5B"/>
    <w:rsid w:val="000C2049"/>
    <w:rsid w:val="000C2B2C"/>
    <w:rsid w:val="000C2BBA"/>
    <w:rsid w:val="000C5922"/>
    <w:rsid w:val="000C6598"/>
    <w:rsid w:val="000D15E3"/>
    <w:rsid w:val="000E022F"/>
    <w:rsid w:val="000E38B9"/>
    <w:rsid w:val="000E3A64"/>
    <w:rsid w:val="000E4064"/>
    <w:rsid w:val="000E596B"/>
    <w:rsid w:val="000E6883"/>
    <w:rsid w:val="000E7950"/>
    <w:rsid w:val="000F052C"/>
    <w:rsid w:val="000F1E0D"/>
    <w:rsid w:val="000F24F2"/>
    <w:rsid w:val="000F2FD0"/>
    <w:rsid w:val="000F35E0"/>
    <w:rsid w:val="000F5080"/>
    <w:rsid w:val="000F57F1"/>
    <w:rsid w:val="000F6709"/>
    <w:rsid w:val="0010368C"/>
    <w:rsid w:val="00103D8B"/>
    <w:rsid w:val="001044EA"/>
    <w:rsid w:val="001058BF"/>
    <w:rsid w:val="00106A93"/>
    <w:rsid w:val="00107586"/>
    <w:rsid w:val="00111A68"/>
    <w:rsid w:val="00111C75"/>
    <w:rsid w:val="0011205C"/>
    <w:rsid w:val="001130EC"/>
    <w:rsid w:val="001173E7"/>
    <w:rsid w:val="0011769E"/>
    <w:rsid w:val="00124DEE"/>
    <w:rsid w:val="00125EA7"/>
    <w:rsid w:val="001310DC"/>
    <w:rsid w:val="00131804"/>
    <w:rsid w:val="00134FF6"/>
    <w:rsid w:val="00135194"/>
    <w:rsid w:val="00135301"/>
    <w:rsid w:val="00136BE3"/>
    <w:rsid w:val="00143179"/>
    <w:rsid w:val="00145AEB"/>
    <w:rsid w:val="00145D43"/>
    <w:rsid w:val="001475DF"/>
    <w:rsid w:val="0015642F"/>
    <w:rsid w:val="001568F6"/>
    <w:rsid w:val="001618D4"/>
    <w:rsid w:val="001623E3"/>
    <w:rsid w:val="001631C0"/>
    <w:rsid w:val="00164383"/>
    <w:rsid w:val="00164FF1"/>
    <w:rsid w:val="00166473"/>
    <w:rsid w:val="001667D6"/>
    <w:rsid w:val="0017005C"/>
    <w:rsid w:val="00171ED1"/>
    <w:rsid w:val="00173145"/>
    <w:rsid w:val="0017316B"/>
    <w:rsid w:val="00174D57"/>
    <w:rsid w:val="00175000"/>
    <w:rsid w:val="00180F5F"/>
    <w:rsid w:val="00186A02"/>
    <w:rsid w:val="001919C4"/>
    <w:rsid w:val="00192C46"/>
    <w:rsid w:val="00195818"/>
    <w:rsid w:val="00195F02"/>
    <w:rsid w:val="001A0558"/>
    <w:rsid w:val="001A1103"/>
    <w:rsid w:val="001A25FC"/>
    <w:rsid w:val="001A3324"/>
    <w:rsid w:val="001A3514"/>
    <w:rsid w:val="001A4647"/>
    <w:rsid w:val="001A6557"/>
    <w:rsid w:val="001A6746"/>
    <w:rsid w:val="001A7B60"/>
    <w:rsid w:val="001B2073"/>
    <w:rsid w:val="001B288A"/>
    <w:rsid w:val="001B46A8"/>
    <w:rsid w:val="001B7A65"/>
    <w:rsid w:val="001B7A9B"/>
    <w:rsid w:val="001C0ADF"/>
    <w:rsid w:val="001C133D"/>
    <w:rsid w:val="001C5162"/>
    <w:rsid w:val="001C5EC4"/>
    <w:rsid w:val="001D0703"/>
    <w:rsid w:val="001D0B9D"/>
    <w:rsid w:val="001D141F"/>
    <w:rsid w:val="001D1EB2"/>
    <w:rsid w:val="001D5F32"/>
    <w:rsid w:val="001E2799"/>
    <w:rsid w:val="001E41F3"/>
    <w:rsid w:val="001E5DD2"/>
    <w:rsid w:val="001F23A6"/>
    <w:rsid w:val="001F2A9C"/>
    <w:rsid w:val="001F2F15"/>
    <w:rsid w:val="001F5ACB"/>
    <w:rsid w:val="001F5CA3"/>
    <w:rsid w:val="001F7B3E"/>
    <w:rsid w:val="001F7C30"/>
    <w:rsid w:val="00201006"/>
    <w:rsid w:val="00202939"/>
    <w:rsid w:val="00212558"/>
    <w:rsid w:val="00213B82"/>
    <w:rsid w:val="00214D8E"/>
    <w:rsid w:val="00215A69"/>
    <w:rsid w:val="0021722F"/>
    <w:rsid w:val="002239A6"/>
    <w:rsid w:val="002241C4"/>
    <w:rsid w:val="00224B3B"/>
    <w:rsid w:val="002252EF"/>
    <w:rsid w:val="0022533F"/>
    <w:rsid w:val="00226851"/>
    <w:rsid w:val="00237100"/>
    <w:rsid w:val="00237275"/>
    <w:rsid w:val="00240FCB"/>
    <w:rsid w:val="00246C43"/>
    <w:rsid w:val="00247E50"/>
    <w:rsid w:val="00251AAA"/>
    <w:rsid w:val="002558E0"/>
    <w:rsid w:val="0026004D"/>
    <w:rsid w:val="002605D9"/>
    <w:rsid w:val="0026101E"/>
    <w:rsid w:val="00261193"/>
    <w:rsid w:val="002657A0"/>
    <w:rsid w:val="00265FDA"/>
    <w:rsid w:val="002746DE"/>
    <w:rsid w:val="00275042"/>
    <w:rsid w:val="002757BB"/>
    <w:rsid w:val="00275D12"/>
    <w:rsid w:val="0028139E"/>
    <w:rsid w:val="002834BD"/>
    <w:rsid w:val="002835C4"/>
    <w:rsid w:val="002860C4"/>
    <w:rsid w:val="00287458"/>
    <w:rsid w:val="0029039F"/>
    <w:rsid w:val="00294EB9"/>
    <w:rsid w:val="0029520A"/>
    <w:rsid w:val="0029717E"/>
    <w:rsid w:val="002A01CC"/>
    <w:rsid w:val="002A0CE9"/>
    <w:rsid w:val="002A2DDF"/>
    <w:rsid w:val="002B09E4"/>
    <w:rsid w:val="002B4921"/>
    <w:rsid w:val="002B513E"/>
    <w:rsid w:val="002B520F"/>
    <w:rsid w:val="002B5741"/>
    <w:rsid w:val="002B59C7"/>
    <w:rsid w:val="002B5C3D"/>
    <w:rsid w:val="002C072A"/>
    <w:rsid w:val="002C148A"/>
    <w:rsid w:val="002C1766"/>
    <w:rsid w:val="002C281C"/>
    <w:rsid w:val="002C3545"/>
    <w:rsid w:val="002D0BC2"/>
    <w:rsid w:val="002D1445"/>
    <w:rsid w:val="002D2E06"/>
    <w:rsid w:val="002D7339"/>
    <w:rsid w:val="002E01B2"/>
    <w:rsid w:val="002E225A"/>
    <w:rsid w:val="002E23A8"/>
    <w:rsid w:val="002E24B5"/>
    <w:rsid w:val="002E2D2D"/>
    <w:rsid w:val="002E3025"/>
    <w:rsid w:val="002E3D60"/>
    <w:rsid w:val="002E7E69"/>
    <w:rsid w:val="002F300E"/>
    <w:rsid w:val="002F623C"/>
    <w:rsid w:val="002F68B5"/>
    <w:rsid w:val="002F7BA8"/>
    <w:rsid w:val="003000C0"/>
    <w:rsid w:val="00301D4A"/>
    <w:rsid w:val="00305409"/>
    <w:rsid w:val="00305D6A"/>
    <w:rsid w:val="003072E5"/>
    <w:rsid w:val="00311E83"/>
    <w:rsid w:val="00316451"/>
    <w:rsid w:val="003165A3"/>
    <w:rsid w:val="00323F2A"/>
    <w:rsid w:val="00333122"/>
    <w:rsid w:val="00333B09"/>
    <w:rsid w:val="00336199"/>
    <w:rsid w:val="003367EE"/>
    <w:rsid w:val="00341277"/>
    <w:rsid w:val="00343F87"/>
    <w:rsid w:val="00345D2B"/>
    <w:rsid w:val="00346766"/>
    <w:rsid w:val="00347B82"/>
    <w:rsid w:val="003505ED"/>
    <w:rsid w:val="00350748"/>
    <w:rsid w:val="003535F0"/>
    <w:rsid w:val="003559D0"/>
    <w:rsid w:val="00355BEB"/>
    <w:rsid w:val="00360CFF"/>
    <w:rsid w:val="00361CD6"/>
    <w:rsid w:val="00362AAA"/>
    <w:rsid w:val="0036378C"/>
    <w:rsid w:val="00364CF2"/>
    <w:rsid w:val="00365064"/>
    <w:rsid w:val="00366F05"/>
    <w:rsid w:val="00370763"/>
    <w:rsid w:val="00371E5C"/>
    <w:rsid w:val="003741D7"/>
    <w:rsid w:val="00374E7B"/>
    <w:rsid w:val="0038176A"/>
    <w:rsid w:val="003834CC"/>
    <w:rsid w:val="00383766"/>
    <w:rsid w:val="0039258D"/>
    <w:rsid w:val="00395B3A"/>
    <w:rsid w:val="003A1119"/>
    <w:rsid w:val="003A43C7"/>
    <w:rsid w:val="003A6E0C"/>
    <w:rsid w:val="003B20E0"/>
    <w:rsid w:val="003B3EA2"/>
    <w:rsid w:val="003B448D"/>
    <w:rsid w:val="003B55D8"/>
    <w:rsid w:val="003B5D58"/>
    <w:rsid w:val="003B5F43"/>
    <w:rsid w:val="003B6EBB"/>
    <w:rsid w:val="003C046C"/>
    <w:rsid w:val="003C2275"/>
    <w:rsid w:val="003C2DB3"/>
    <w:rsid w:val="003C6439"/>
    <w:rsid w:val="003D34D6"/>
    <w:rsid w:val="003D59F7"/>
    <w:rsid w:val="003E05E9"/>
    <w:rsid w:val="003E10F0"/>
    <w:rsid w:val="003E1A36"/>
    <w:rsid w:val="003E3363"/>
    <w:rsid w:val="003E577A"/>
    <w:rsid w:val="003E5C4C"/>
    <w:rsid w:val="003E65E7"/>
    <w:rsid w:val="003E6EC9"/>
    <w:rsid w:val="003F0458"/>
    <w:rsid w:val="003F1AFD"/>
    <w:rsid w:val="003F2BFD"/>
    <w:rsid w:val="003F3DB6"/>
    <w:rsid w:val="003F519E"/>
    <w:rsid w:val="003F6988"/>
    <w:rsid w:val="0040227D"/>
    <w:rsid w:val="0040264B"/>
    <w:rsid w:val="004036FD"/>
    <w:rsid w:val="00404E4B"/>
    <w:rsid w:val="00406217"/>
    <w:rsid w:val="00407153"/>
    <w:rsid w:val="00410B1B"/>
    <w:rsid w:val="00410CB4"/>
    <w:rsid w:val="00410F0F"/>
    <w:rsid w:val="00411CE8"/>
    <w:rsid w:val="004124CF"/>
    <w:rsid w:val="00413FFD"/>
    <w:rsid w:val="00414C99"/>
    <w:rsid w:val="00417F64"/>
    <w:rsid w:val="00422433"/>
    <w:rsid w:val="004231AB"/>
    <w:rsid w:val="0042399C"/>
    <w:rsid w:val="004242F1"/>
    <w:rsid w:val="00432189"/>
    <w:rsid w:val="00432932"/>
    <w:rsid w:val="00437FAE"/>
    <w:rsid w:val="004419F6"/>
    <w:rsid w:val="00442251"/>
    <w:rsid w:val="0045780C"/>
    <w:rsid w:val="0046174F"/>
    <w:rsid w:val="00461C38"/>
    <w:rsid w:val="00464BB9"/>
    <w:rsid w:val="004650AC"/>
    <w:rsid w:val="004677A6"/>
    <w:rsid w:val="004678ED"/>
    <w:rsid w:val="00470BCA"/>
    <w:rsid w:val="00470EB9"/>
    <w:rsid w:val="004730CC"/>
    <w:rsid w:val="004742D5"/>
    <w:rsid w:val="0047605D"/>
    <w:rsid w:val="00480622"/>
    <w:rsid w:val="00480F68"/>
    <w:rsid w:val="00481057"/>
    <w:rsid w:val="004819A6"/>
    <w:rsid w:val="00483345"/>
    <w:rsid w:val="00485223"/>
    <w:rsid w:val="004876EA"/>
    <w:rsid w:val="00495DF0"/>
    <w:rsid w:val="004A051A"/>
    <w:rsid w:val="004A0EA5"/>
    <w:rsid w:val="004A308C"/>
    <w:rsid w:val="004B67DC"/>
    <w:rsid w:val="004B75B7"/>
    <w:rsid w:val="004C25B7"/>
    <w:rsid w:val="004C3BBC"/>
    <w:rsid w:val="004C40FC"/>
    <w:rsid w:val="004C45B5"/>
    <w:rsid w:val="004D1592"/>
    <w:rsid w:val="004D27E6"/>
    <w:rsid w:val="004D339B"/>
    <w:rsid w:val="004D441A"/>
    <w:rsid w:val="004D7FEC"/>
    <w:rsid w:val="004E33FD"/>
    <w:rsid w:val="004E4750"/>
    <w:rsid w:val="004E4FC1"/>
    <w:rsid w:val="004E5010"/>
    <w:rsid w:val="004E6375"/>
    <w:rsid w:val="004E78EC"/>
    <w:rsid w:val="004F1397"/>
    <w:rsid w:val="004F249E"/>
    <w:rsid w:val="004F4D7B"/>
    <w:rsid w:val="004F6237"/>
    <w:rsid w:val="004F7FA8"/>
    <w:rsid w:val="0050364B"/>
    <w:rsid w:val="00503C65"/>
    <w:rsid w:val="0050493B"/>
    <w:rsid w:val="00513DED"/>
    <w:rsid w:val="00513F94"/>
    <w:rsid w:val="0051580D"/>
    <w:rsid w:val="00515C73"/>
    <w:rsid w:val="005163CE"/>
    <w:rsid w:val="00521B72"/>
    <w:rsid w:val="00521BFF"/>
    <w:rsid w:val="00523CDD"/>
    <w:rsid w:val="00530FF2"/>
    <w:rsid w:val="00533549"/>
    <w:rsid w:val="005361D9"/>
    <w:rsid w:val="00537F3C"/>
    <w:rsid w:val="00540AA8"/>
    <w:rsid w:val="00542892"/>
    <w:rsid w:val="00543D75"/>
    <w:rsid w:val="00544560"/>
    <w:rsid w:val="0054521E"/>
    <w:rsid w:val="00545F12"/>
    <w:rsid w:val="00550584"/>
    <w:rsid w:val="00553D92"/>
    <w:rsid w:val="005605BC"/>
    <w:rsid w:val="00562F82"/>
    <w:rsid w:val="005641EC"/>
    <w:rsid w:val="005646A2"/>
    <w:rsid w:val="00564BCD"/>
    <w:rsid w:val="00565F1A"/>
    <w:rsid w:val="0057028D"/>
    <w:rsid w:val="0057050D"/>
    <w:rsid w:val="00571C34"/>
    <w:rsid w:val="005737E3"/>
    <w:rsid w:val="00576896"/>
    <w:rsid w:val="005774D1"/>
    <w:rsid w:val="00580EAD"/>
    <w:rsid w:val="00583E7C"/>
    <w:rsid w:val="00587ECF"/>
    <w:rsid w:val="00592D74"/>
    <w:rsid w:val="00597335"/>
    <w:rsid w:val="0059740F"/>
    <w:rsid w:val="005A10BE"/>
    <w:rsid w:val="005A1F9E"/>
    <w:rsid w:val="005A383E"/>
    <w:rsid w:val="005A3D57"/>
    <w:rsid w:val="005B1C9B"/>
    <w:rsid w:val="005B2B48"/>
    <w:rsid w:val="005B6C37"/>
    <w:rsid w:val="005B74B5"/>
    <w:rsid w:val="005C109D"/>
    <w:rsid w:val="005C1A8F"/>
    <w:rsid w:val="005C2AF2"/>
    <w:rsid w:val="005C38A7"/>
    <w:rsid w:val="005C4BF3"/>
    <w:rsid w:val="005C6D11"/>
    <w:rsid w:val="005C78BD"/>
    <w:rsid w:val="005E175A"/>
    <w:rsid w:val="005E20C6"/>
    <w:rsid w:val="005E2C44"/>
    <w:rsid w:val="005E4BB2"/>
    <w:rsid w:val="005F08A2"/>
    <w:rsid w:val="005F11DA"/>
    <w:rsid w:val="005F3402"/>
    <w:rsid w:val="005F6723"/>
    <w:rsid w:val="005F6B36"/>
    <w:rsid w:val="005F7285"/>
    <w:rsid w:val="005F7E3B"/>
    <w:rsid w:val="00601D46"/>
    <w:rsid w:val="00601F80"/>
    <w:rsid w:val="00603693"/>
    <w:rsid w:val="00605EDC"/>
    <w:rsid w:val="00610796"/>
    <w:rsid w:val="00616AFA"/>
    <w:rsid w:val="0061794C"/>
    <w:rsid w:val="00620242"/>
    <w:rsid w:val="00621188"/>
    <w:rsid w:val="00623008"/>
    <w:rsid w:val="006257ED"/>
    <w:rsid w:val="00626641"/>
    <w:rsid w:val="006275F8"/>
    <w:rsid w:val="00635D2D"/>
    <w:rsid w:val="006373EA"/>
    <w:rsid w:val="00641054"/>
    <w:rsid w:val="0064222C"/>
    <w:rsid w:val="00642FF9"/>
    <w:rsid w:val="00643BA1"/>
    <w:rsid w:val="006457D0"/>
    <w:rsid w:val="006459E2"/>
    <w:rsid w:val="00646C14"/>
    <w:rsid w:val="00651528"/>
    <w:rsid w:val="00651AAA"/>
    <w:rsid w:val="00652F6F"/>
    <w:rsid w:val="00653B48"/>
    <w:rsid w:val="00654E37"/>
    <w:rsid w:val="00656CA7"/>
    <w:rsid w:val="006571C4"/>
    <w:rsid w:val="00663D44"/>
    <w:rsid w:val="00663FB8"/>
    <w:rsid w:val="00664AFB"/>
    <w:rsid w:val="00670318"/>
    <w:rsid w:val="006758E1"/>
    <w:rsid w:val="006771EA"/>
    <w:rsid w:val="0068013A"/>
    <w:rsid w:val="006810F7"/>
    <w:rsid w:val="00682099"/>
    <w:rsid w:val="00683E1C"/>
    <w:rsid w:val="00684AFF"/>
    <w:rsid w:val="00687C5A"/>
    <w:rsid w:val="0069245B"/>
    <w:rsid w:val="00695808"/>
    <w:rsid w:val="00695C4D"/>
    <w:rsid w:val="006A0D35"/>
    <w:rsid w:val="006A154B"/>
    <w:rsid w:val="006A1CA0"/>
    <w:rsid w:val="006A5E1C"/>
    <w:rsid w:val="006A76DD"/>
    <w:rsid w:val="006B24DB"/>
    <w:rsid w:val="006B38C2"/>
    <w:rsid w:val="006B46FB"/>
    <w:rsid w:val="006B5DF9"/>
    <w:rsid w:val="006C02F2"/>
    <w:rsid w:val="006C1934"/>
    <w:rsid w:val="006C19F7"/>
    <w:rsid w:val="006C1F72"/>
    <w:rsid w:val="006C37AF"/>
    <w:rsid w:val="006C41DA"/>
    <w:rsid w:val="006C4A27"/>
    <w:rsid w:val="006C5A0B"/>
    <w:rsid w:val="006C6F64"/>
    <w:rsid w:val="006C7BDF"/>
    <w:rsid w:val="006D05F2"/>
    <w:rsid w:val="006D2715"/>
    <w:rsid w:val="006D2B67"/>
    <w:rsid w:val="006D2F35"/>
    <w:rsid w:val="006D63FA"/>
    <w:rsid w:val="006E068E"/>
    <w:rsid w:val="006E2158"/>
    <w:rsid w:val="006E21FB"/>
    <w:rsid w:val="006E3F88"/>
    <w:rsid w:val="006E5579"/>
    <w:rsid w:val="006E7DF0"/>
    <w:rsid w:val="006E7E48"/>
    <w:rsid w:val="006E7EE5"/>
    <w:rsid w:val="006F08FB"/>
    <w:rsid w:val="006F3294"/>
    <w:rsid w:val="006F34BF"/>
    <w:rsid w:val="00704A75"/>
    <w:rsid w:val="00707241"/>
    <w:rsid w:val="00714817"/>
    <w:rsid w:val="0072409A"/>
    <w:rsid w:val="00724AC8"/>
    <w:rsid w:val="00725FF2"/>
    <w:rsid w:val="007310EE"/>
    <w:rsid w:val="00733CCF"/>
    <w:rsid w:val="00741B9D"/>
    <w:rsid w:val="00745C77"/>
    <w:rsid w:val="0074769C"/>
    <w:rsid w:val="0075004C"/>
    <w:rsid w:val="0075113A"/>
    <w:rsid w:val="0075127B"/>
    <w:rsid w:val="0075391A"/>
    <w:rsid w:val="007602A6"/>
    <w:rsid w:val="00761122"/>
    <w:rsid w:val="00761FC9"/>
    <w:rsid w:val="00762DBA"/>
    <w:rsid w:val="00764354"/>
    <w:rsid w:val="007669A5"/>
    <w:rsid w:val="007669E8"/>
    <w:rsid w:val="00766B08"/>
    <w:rsid w:val="00767160"/>
    <w:rsid w:val="00767F20"/>
    <w:rsid w:val="00770A40"/>
    <w:rsid w:val="00773395"/>
    <w:rsid w:val="0077715B"/>
    <w:rsid w:val="00780B5E"/>
    <w:rsid w:val="007839B9"/>
    <w:rsid w:val="00792342"/>
    <w:rsid w:val="0079568B"/>
    <w:rsid w:val="00796735"/>
    <w:rsid w:val="00796EBF"/>
    <w:rsid w:val="007A019A"/>
    <w:rsid w:val="007A11A8"/>
    <w:rsid w:val="007A30B4"/>
    <w:rsid w:val="007A3F37"/>
    <w:rsid w:val="007A4B9B"/>
    <w:rsid w:val="007A5375"/>
    <w:rsid w:val="007A7819"/>
    <w:rsid w:val="007B1444"/>
    <w:rsid w:val="007B32CA"/>
    <w:rsid w:val="007B473F"/>
    <w:rsid w:val="007B512A"/>
    <w:rsid w:val="007B5E2B"/>
    <w:rsid w:val="007B6577"/>
    <w:rsid w:val="007C0A66"/>
    <w:rsid w:val="007C2097"/>
    <w:rsid w:val="007C4DAC"/>
    <w:rsid w:val="007C5841"/>
    <w:rsid w:val="007D0587"/>
    <w:rsid w:val="007D081B"/>
    <w:rsid w:val="007D2BF9"/>
    <w:rsid w:val="007D55EC"/>
    <w:rsid w:val="007D6099"/>
    <w:rsid w:val="007D6A07"/>
    <w:rsid w:val="007E109F"/>
    <w:rsid w:val="007E4C01"/>
    <w:rsid w:val="007E546B"/>
    <w:rsid w:val="007E6869"/>
    <w:rsid w:val="007F4A87"/>
    <w:rsid w:val="0080040D"/>
    <w:rsid w:val="0080111B"/>
    <w:rsid w:val="00807C14"/>
    <w:rsid w:val="008120F4"/>
    <w:rsid w:val="00812357"/>
    <w:rsid w:val="00813A9C"/>
    <w:rsid w:val="00813C36"/>
    <w:rsid w:val="00815EC3"/>
    <w:rsid w:val="00817E34"/>
    <w:rsid w:val="00826350"/>
    <w:rsid w:val="008271BB"/>
    <w:rsid w:val="008279FA"/>
    <w:rsid w:val="00830FD8"/>
    <w:rsid w:val="00835025"/>
    <w:rsid w:val="00841794"/>
    <w:rsid w:val="00841B52"/>
    <w:rsid w:val="008433AD"/>
    <w:rsid w:val="00844E40"/>
    <w:rsid w:val="00846D8C"/>
    <w:rsid w:val="00850456"/>
    <w:rsid w:val="008509A9"/>
    <w:rsid w:val="008517EF"/>
    <w:rsid w:val="00851C29"/>
    <w:rsid w:val="00854B6F"/>
    <w:rsid w:val="00855FFB"/>
    <w:rsid w:val="0085623B"/>
    <w:rsid w:val="00856566"/>
    <w:rsid w:val="00857FC9"/>
    <w:rsid w:val="00861F64"/>
    <w:rsid w:val="008620FD"/>
    <w:rsid w:val="008626E7"/>
    <w:rsid w:val="00863274"/>
    <w:rsid w:val="0086714C"/>
    <w:rsid w:val="00870EE7"/>
    <w:rsid w:val="00871E6F"/>
    <w:rsid w:val="0087278D"/>
    <w:rsid w:val="00875968"/>
    <w:rsid w:val="00876809"/>
    <w:rsid w:val="0087760F"/>
    <w:rsid w:val="00880B58"/>
    <w:rsid w:val="00880CAB"/>
    <w:rsid w:val="00885FC0"/>
    <w:rsid w:val="008920F5"/>
    <w:rsid w:val="008935E5"/>
    <w:rsid w:val="0089484A"/>
    <w:rsid w:val="00896A6A"/>
    <w:rsid w:val="00896CBC"/>
    <w:rsid w:val="008A079F"/>
    <w:rsid w:val="008A2849"/>
    <w:rsid w:val="008A3716"/>
    <w:rsid w:val="008A6D0F"/>
    <w:rsid w:val="008A7A81"/>
    <w:rsid w:val="008B10C7"/>
    <w:rsid w:val="008B3652"/>
    <w:rsid w:val="008B4E80"/>
    <w:rsid w:val="008B6145"/>
    <w:rsid w:val="008B7C7A"/>
    <w:rsid w:val="008C14B8"/>
    <w:rsid w:val="008C66F7"/>
    <w:rsid w:val="008C710E"/>
    <w:rsid w:val="008D72D1"/>
    <w:rsid w:val="008D7A94"/>
    <w:rsid w:val="008D7B0D"/>
    <w:rsid w:val="008E1351"/>
    <w:rsid w:val="008E3AC5"/>
    <w:rsid w:val="008E56F0"/>
    <w:rsid w:val="008E5749"/>
    <w:rsid w:val="008E7EB5"/>
    <w:rsid w:val="008F30A8"/>
    <w:rsid w:val="008F3FEB"/>
    <w:rsid w:val="008F4E87"/>
    <w:rsid w:val="008F686C"/>
    <w:rsid w:val="008F6C05"/>
    <w:rsid w:val="008F721D"/>
    <w:rsid w:val="008F72C3"/>
    <w:rsid w:val="009027C4"/>
    <w:rsid w:val="00910F08"/>
    <w:rsid w:val="009122BB"/>
    <w:rsid w:val="00913C60"/>
    <w:rsid w:val="00914FAA"/>
    <w:rsid w:val="009209A0"/>
    <w:rsid w:val="009251C8"/>
    <w:rsid w:val="00931227"/>
    <w:rsid w:val="0093180F"/>
    <w:rsid w:val="009373A2"/>
    <w:rsid w:val="00937657"/>
    <w:rsid w:val="00941531"/>
    <w:rsid w:val="00942464"/>
    <w:rsid w:val="00944658"/>
    <w:rsid w:val="00946C91"/>
    <w:rsid w:val="00947BD0"/>
    <w:rsid w:val="009521E1"/>
    <w:rsid w:val="009544A4"/>
    <w:rsid w:val="009550B1"/>
    <w:rsid w:val="00955649"/>
    <w:rsid w:val="0096146C"/>
    <w:rsid w:val="00966F3D"/>
    <w:rsid w:val="009678F7"/>
    <w:rsid w:val="00972490"/>
    <w:rsid w:val="009749F1"/>
    <w:rsid w:val="0097656D"/>
    <w:rsid w:val="009765B7"/>
    <w:rsid w:val="00976DB3"/>
    <w:rsid w:val="0097703A"/>
    <w:rsid w:val="009775B9"/>
    <w:rsid w:val="009777D9"/>
    <w:rsid w:val="00980461"/>
    <w:rsid w:val="00980F0F"/>
    <w:rsid w:val="00981891"/>
    <w:rsid w:val="00984913"/>
    <w:rsid w:val="009849BF"/>
    <w:rsid w:val="00984C3D"/>
    <w:rsid w:val="00991B88"/>
    <w:rsid w:val="009961C3"/>
    <w:rsid w:val="00996E03"/>
    <w:rsid w:val="009A3A33"/>
    <w:rsid w:val="009A50E5"/>
    <w:rsid w:val="009A579D"/>
    <w:rsid w:val="009A611C"/>
    <w:rsid w:val="009A7B62"/>
    <w:rsid w:val="009B2F08"/>
    <w:rsid w:val="009B587F"/>
    <w:rsid w:val="009B6B2A"/>
    <w:rsid w:val="009C2853"/>
    <w:rsid w:val="009C547E"/>
    <w:rsid w:val="009C5EDF"/>
    <w:rsid w:val="009D1600"/>
    <w:rsid w:val="009D233D"/>
    <w:rsid w:val="009D2FD6"/>
    <w:rsid w:val="009D5102"/>
    <w:rsid w:val="009D538A"/>
    <w:rsid w:val="009D5793"/>
    <w:rsid w:val="009D61C0"/>
    <w:rsid w:val="009D732E"/>
    <w:rsid w:val="009E0356"/>
    <w:rsid w:val="009E2E11"/>
    <w:rsid w:val="009E3297"/>
    <w:rsid w:val="009F734F"/>
    <w:rsid w:val="009F738A"/>
    <w:rsid w:val="00A03A2F"/>
    <w:rsid w:val="00A0600A"/>
    <w:rsid w:val="00A077A1"/>
    <w:rsid w:val="00A117DE"/>
    <w:rsid w:val="00A141A8"/>
    <w:rsid w:val="00A20757"/>
    <w:rsid w:val="00A21023"/>
    <w:rsid w:val="00A246B6"/>
    <w:rsid w:val="00A2634C"/>
    <w:rsid w:val="00A2655F"/>
    <w:rsid w:val="00A320F2"/>
    <w:rsid w:val="00A33526"/>
    <w:rsid w:val="00A33B87"/>
    <w:rsid w:val="00A34BC9"/>
    <w:rsid w:val="00A40ACF"/>
    <w:rsid w:val="00A44D38"/>
    <w:rsid w:val="00A45AC7"/>
    <w:rsid w:val="00A47E70"/>
    <w:rsid w:val="00A5121D"/>
    <w:rsid w:val="00A51BA9"/>
    <w:rsid w:val="00A52243"/>
    <w:rsid w:val="00A53D3E"/>
    <w:rsid w:val="00A55DFF"/>
    <w:rsid w:val="00A60194"/>
    <w:rsid w:val="00A60AA1"/>
    <w:rsid w:val="00A61EE0"/>
    <w:rsid w:val="00A61F1A"/>
    <w:rsid w:val="00A67239"/>
    <w:rsid w:val="00A739DA"/>
    <w:rsid w:val="00A7671C"/>
    <w:rsid w:val="00A80BDE"/>
    <w:rsid w:val="00A81274"/>
    <w:rsid w:val="00A81CC1"/>
    <w:rsid w:val="00A84A8A"/>
    <w:rsid w:val="00A85D51"/>
    <w:rsid w:val="00A868A6"/>
    <w:rsid w:val="00A90492"/>
    <w:rsid w:val="00A91747"/>
    <w:rsid w:val="00A91FC8"/>
    <w:rsid w:val="00A92AC3"/>
    <w:rsid w:val="00A92C4B"/>
    <w:rsid w:val="00A93443"/>
    <w:rsid w:val="00A93D96"/>
    <w:rsid w:val="00A96BA8"/>
    <w:rsid w:val="00AA2839"/>
    <w:rsid w:val="00AA31FB"/>
    <w:rsid w:val="00AA4C6B"/>
    <w:rsid w:val="00AA79CC"/>
    <w:rsid w:val="00AB1B0C"/>
    <w:rsid w:val="00AB5082"/>
    <w:rsid w:val="00AB6A74"/>
    <w:rsid w:val="00AC2044"/>
    <w:rsid w:val="00AC403D"/>
    <w:rsid w:val="00AC4AF5"/>
    <w:rsid w:val="00AC4E81"/>
    <w:rsid w:val="00AC5EF4"/>
    <w:rsid w:val="00AD1158"/>
    <w:rsid w:val="00AD1CD8"/>
    <w:rsid w:val="00AD360E"/>
    <w:rsid w:val="00AD48E2"/>
    <w:rsid w:val="00AE103A"/>
    <w:rsid w:val="00AE2CB1"/>
    <w:rsid w:val="00AE7D3B"/>
    <w:rsid w:val="00B04D98"/>
    <w:rsid w:val="00B05894"/>
    <w:rsid w:val="00B064F0"/>
    <w:rsid w:val="00B11D95"/>
    <w:rsid w:val="00B12050"/>
    <w:rsid w:val="00B1474A"/>
    <w:rsid w:val="00B14B81"/>
    <w:rsid w:val="00B22214"/>
    <w:rsid w:val="00B233AB"/>
    <w:rsid w:val="00B24E88"/>
    <w:rsid w:val="00B258BB"/>
    <w:rsid w:val="00B25C53"/>
    <w:rsid w:val="00B307A9"/>
    <w:rsid w:val="00B323F2"/>
    <w:rsid w:val="00B36283"/>
    <w:rsid w:val="00B37250"/>
    <w:rsid w:val="00B37359"/>
    <w:rsid w:val="00B375F0"/>
    <w:rsid w:val="00B37F2F"/>
    <w:rsid w:val="00B4276B"/>
    <w:rsid w:val="00B42E5E"/>
    <w:rsid w:val="00B451D6"/>
    <w:rsid w:val="00B45E16"/>
    <w:rsid w:val="00B46074"/>
    <w:rsid w:val="00B50CEC"/>
    <w:rsid w:val="00B5160D"/>
    <w:rsid w:val="00B544FF"/>
    <w:rsid w:val="00B56814"/>
    <w:rsid w:val="00B56C11"/>
    <w:rsid w:val="00B60A01"/>
    <w:rsid w:val="00B60A0B"/>
    <w:rsid w:val="00B67B97"/>
    <w:rsid w:val="00B70675"/>
    <w:rsid w:val="00B733BD"/>
    <w:rsid w:val="00B75459"/>
    <w:rsid w:val="00B76CFC"/>
    <w:rsid w:val="00B825F0"/>
    <w:rsid w:val="00B84947"/>
    <w:rsid w:val="00B849D7"/>
    <w:rsid w:val="00B851EA"/>
    <w:rsid w:val="00B86F29"/>
    <w:rsid w:val="00B9031A"/>
    <w:rsid w:val="00B907FF"/>
    <w:rsid w:val="00B92C23"/>
    <w:rsid w:val="00B968C8"/>
    <w:rsid w:val="00BA0327"/>
    <w:rsid w:val="00BA11E6"/>
    <w:rsid w:val="00BA153C"/>
    <w:rsid w:val="00BA3EC5"/>
    <w:rsid w:val="00BA5792"/>
    <w:rsid w:val="00BA5D9D"/>
    <w:rsid w:val="00BB2995"/>
    <w:rsid w:val="00BB4ACA"/>
    <w:rsid w:val="00BB5DFC"/>
    <w:rsid w:val="00BB69C2"/>
    <w:rsid w:val="00BC0D95"/>
    <w:rsid w:val="00BC1395"/>
    <w:rsid w:val="00BC544B"/>
    <w:rsid w:val="00BC7904"/>
    <w:rsid w:val="00BD22EB"/>
    <w:rsid w:val="00BD2664"/>
    <w:rsid w:val="00BD279D"/>
    <w:rsid w:val="00BD3084"/>
    <w:rsid w:val="00BD6BB8"/>
    <w:rsid w:val="00BF0972"/>
    <w:rsid w:val="00BF3EE0"/>
    <w:rsid w:val="00BF5946"/>
    <w:rsid w:val="00C100C5"/>
    <w:rsid w:val="00C10E3E"/>
    <w:rsid w:val="00C2179B"/>
    <w:rsid w:val="00C223F1"/>
    <w:rsid w:val="00C22661"/>
    <w:rsid w:val="00C32933"/>
    <w:rsid w:val="00C32C1A"/>
    <w:rsid w:val="00C3398D"/>
    <w:rsid w:val="00C33A92"/>
    <w:rsid w:val="00C347FB"/>
    <w:rsid w:val="00C35591"/>
    <w:rsid w:val="00C367B6"/>
    <w:rsid w:val="00C4329E"/>
    <w:rsid w:val="00C50636"/>
    <w:rsid w:val="00C51098"/>
    <w:rsid w:val="00C51862"/>
    <w:rsid w:val="00C52299"/>
    <w:rsid w:val="00C52752"/>
    <w:rsid w:val="00C569D0"/>
    <w:rsid w:val="00C60BB0"/>
    <w:rsid w:val="00C61D65"/>
    <w:rsid w:val="00C64C3E"/>
    <w:rsid w:val="00C65645"/>
    <w:rsid w:val="00C66A6D"/>
    <w:rsid w:val="00C7052E"/>
    <w:rsid w:val="00C720C9"/>
    <w:rsid w:val="00C74E8C"/>
    <w:rsid w:val="00C816D4"/>
    <w:rsid w:val="00C827EB"/>
    <w:rsid w:val="00C8733A"/>
    <w:rsid w:val="00C95985"/>
    <w:rsid w:val="00C97DB9"/>
    <w:rsid w:val="00CA0F11"/>
    <w:rsid w:val="00CA17C4"/>
    <w:rsid w:val="00CB41DD"/>
    <w:rsid w:val="00CB6322"/>
    <w:rsid w:val="00CB7FC5"/>
    <w:rsid w:val="00CC34A0"/>
    <w:rsid w:val="00CC34F8"/>
    <w:rsid w:val="00CC5026"/>
    <w:rsid w:val="00CC745E"/>
    <w:rsid w:val="00CD156E"/>
    <w:rsid w:val="00CD2C94"/>
    <w:rsid w:val="00CD4C1F"/>
    <w:rsid w:val="00CE4469"/>
    <w:rsid w:val="00CE47C2"/>
    <w:rsid w:val="00CE52AB"/>
    <w:rsid w:val="00CF008C"/>
    <w:rsid w:val="00CF57FF"/>
    <w:rsid w:val="00CF6528"/>
    <w:rsid w:val="00D0182A"/>
    <w:rsid w:val="00D03F9A"/>
    <w:rsid w:val="00D0497A"/>
    <w:rsid w:val="00D067ED"/>
    <w:rsid w:val="00D06A95"/>
    <w:rsid w:val="00D10090"/>
    <w:rsid w:val="00D12694"/>
    <w:rsid w:val="00D16D44"/>
    <w:rsid w:val="00D27A6B"/>
    <w:rsid w:val="00D32A5D"/>
    <w:rsid w:val="00D32E9A"/>
    <w:rsid w:val="00D4309B"/>
    <w:rsid w:val="00D45820"/>
    <w:rsid w:val="00D47339"/>
    <w:rsid w:val="00D50632"/>
    <w:rsid w:val="00D50D28"/>
    <w:rsid w:val="00D51FF6"/>
    <w:rsid w:val="00D553DB"/>
    <w:rsid w:val="00D640BF"/>
    <w:rsid w:val="00D66F25"/>
    <w:rsid w:val="00D73AAE"/>
    <w:rsid w:val="00D73EB7"/>
    <w:rsid w:val="00D74E6B"/>
    <w:rsid w:val="00D75645"/>
    <w:rsid w:val="00D767CC"/>
    <w:rsid w:val="00D813F6"/>
    <w:rsid w:val="00D81D39"/>
    <w:rsid w:val="00D827A3"/>
    <w:rsid w:val="00D875CA"/>
    <w:rsid w:val="00D90AFB"/>
    <w:rsid w:val="00DA0137"/>
    <w:rsid w:val="00DA39E8"/>
    <w:rsid w:val="00DA4901"/>
    <w:rsid w:val="00DA567A"/>
    <w:rsid w:val="00DA598F"/>
    <w:rsid w:val="00DA5D6C"/>
    <w:rsid w:val="00DB1D46"/>
    <w:rsid w:val="00DB3DCC"/>
    <w:rsid w:val="00DB4BFD"/>
    <w:rsid w:val="00DB680D"/>
    <w:rsid w:val="00DB6B5D"/>
    <w:rsid w:val="00DB6FEE"/>
    <w:rsid w:val="00DB73E9"/>
    <w:rsid w:val="00DC371C"/>
    <w:rsid w:val="00DC4B04"/>
    <w:rsid w:val="00DC4BC2"/>
    <w:rsid w:val="00DC61F2"/>
    <w:rsid w:val="00DC643B"/>
    <w:rsid w:val="00DC676E"/>
    <w:rsid w:val="00DC6BC2"/>
    <w:rsid w:val="00DC6BC9"/>
    <w:rsid w:val="00DD5FD5"/>
    <w:rsid w:val="00DD76EB"/>
    <w:rsid w:val="00DE34CF"/>
    <w:rsid w:val="00DE3971"/>
    <w:rsid w:val="00DE6981"/>
    <w:rsid w:val="00DF1992"/>
    <w:rsid w:val="00DF39F1"/>
    <w:rsid w:val="00DF51FA"/>
    <w:rsid w:val="00DF6D6B"/>
    <w:rsid w:val="00E01E41"/>
    <w:rsid w:val="00E04EA6"/>
    <w:rsid w:val="00E067DE"/>
    <w:rsid w:val="00E06A8F"/>
    <w:rsid w:val="00E11CC2"/>
    <w:rsid w:val="00E12D5F"/>
    <w:rsid w:val="00E130C4"/>
    <w:rsid w:val="00E136BF"/>
    <w:rsid w:val="00E15B45"/>
    <w:rsid w:val="00E211F5"/>
    <w:rsid w:val="00E226E0"/>
    <w:rsid w:val="00E22AF3"/>
    <w:rsid w:val="00E30B36"/>
    <w:rsid w:val="00E30D6D"/>
    <w:rsid w:val="00E334D3"/>
    <w:rsid w:val="00E36D15"/>
    <w:rsid w:val="00E37F2C"/>
    <w:rsid w:val="00E4300F"/>
    <w:rsid w:val="00E4456E"/>
    <w:rsid w:val="00E469F0"/>
    <w:rsid w:val="00E47C93"/>
    <w:rsid w:val="00E5165D"/>
    <w:rsid w:val="00E5191A"/>
    <w:rsid w:val="00E5507B"/>
    <w:rsid w:val="00E61B14"/>
    <w:rsid w:val="00E649EF"/>
    <w:rsid w:val="00E6578B"/>
    <w:rsid w:val="00E66E34"/>
    <w:rsid w:val="00E710A7"/>
    <w:rsid w:val="00E71C53"/>
    <w:rsid w:val="00E720B7"/>
    <w:rsid w:val="00E720FB"/>
    <w:rsid w:val="00E74A95"/>
    <w:rsid w:val="00E761DD"/>
    <w:rsid w:val="00E77F92"/>
    <w:rsid w:val="00E846E0"/>
    <w:rsid w:val="00E8543B"/>
    <w:rsid w:val="00E9399D"/>
    <w:rsid w:val="00E9516A"/>
    <w:rsid w:val="00E9727E"/>
    <w:rsid w:val="00EA107B"/>
    <w:rsid w:val="00EA1F48"/>
    <w:rsid w:val="00EA2B67"/>
    <w:rsid w:val="00EA4A84"/>
    <w:rsid w:val="00EA52FB"/>
    <w:rsid w:val="00EA65C7"/>
    <w:rsid w:val="00EB3439"/>
    <w:rsid w:val="00EB3909"/>
    <w:rsid w:val="00EC1704"/>
    <w:rsid w:val="00EC3478"/>
    <w:rsid w:val="00EC638C"/>
    <w:rsid w:val="00ED275F"/>
    <w:rsid w:val="00ED6174"/>
    <w:rsid w:val="00ED6E06"/>
    <w:rsid w:val="00EE3CBD"/>
    <w:rsid w:val="00EE6AA4"/>
    <w:rsid w:val="00EE7D7C"/>
    <w:rsid w:val="00EF15FA"/>
    <w:rsid w:val="00EF23BB"/>
    <w:rsid w:val="00EF739E"/>
    <w:rsid w:val="00F01CD9"/>
    <w:rsid w:val="00F058EC"/>
    <w:rsid w:val="00F07A7C"/>
    <w:rsid w:val="00F07EDA"/>
    <w:rsid w:val="00F07F39"/>
    <w:rsid w:val="00F15EB0"/>
    <w:rsid w:val="00F16B28"/>
    <w:rsid w:val="00F21AA7"/>
    <w:rsid w:val="00F25D98"/>
    <w:rsid w:val="00F27D96"/>
    <w:rsid w:val="00F300FB"/>
    <w:rsid w:val="00F31303"/>
    <w:rsid w:val="00F31C51"/>
    <w:rsid w:val="00F33033"/>
    <w:rsid w:val="00F3494E"/>
    <w:rsid w:val="00F36B03"/>
    <w:rsid w:val="00F4098F"/>
    <w:rsid w:val="00F533B6"/>
    <w:rsid w:val="00F577F8"/>
    <w:rsid w:val="00F61778"/>
    <w:rsid w:val="00F61C93"/>
    <w:rsid w:val="00F620EC"/>
    <w:rsid w:val="00F62A9A"/>
    <w:rsid w:val="00F62E10"/>
    <w:rsid w:val="00F632D3"/>
    <w:rsid w:val="00F64300"/>
    <w:rsid w:val="00F674DD"/>
    <w:rsid w:val="00F71023"/>
    <w:rsid w:val="00F7192D"/>
    <w:rsid w:val="00F73719"/>
    <w:rsid w:val="00F76B87"/>
    <w:rsid w:val="00F8001E"/>
    <w:rsid w:val="00F862B6"/>
    <w:rsid w:val="00F903FC"/>
    <w:rsid w:val="00F92EB9"/>
    <w:rsid w:val="00F9588E"/>
    <w:rsid w:val="00F95ABD"/>
    <w:rsid w:val="00F96860"/>
    <w:rsid w:val="00F968DC"/>
    <w:rsid w:val="00F97009"/>
    <w:rsid w:val="00FA2D97"/>
    <w:rsid w:val="00FA2FBC"/>
    <w:rsid w:val="00FA3152"/>
    <w:rsid w:val="00FA5551"/>
    <w:rsid w:val="00FA6718"/>
    <w:rsid w:val="00FB410A"/>
    <w:rsid w:val="00FB6386"/>
    <w:rsid w:val="00FC3AB3"/>
    <w:rsid w:val="00FC58CA"/>
    <w:rsid w:val="00FC69EE"/>
    <w:rsid w:val="00FC7228"/>
    <w:rsid w:val="00FD193D"/>
    <w:rsid w:val="00FD1D43"/>
    <w:rsid w:val="00FD239F"/>
    <w:rsid w:val="00FD35DB"/>
    <w:rsid w:val="00FE0ACB"/>
    <w:rsid w:val="00FE11DF"/>
    <w:rsid w:val="00FE3353"/>
    <w:rsid w:val="00FE3E1E"/>
    <w:rsid w:val="00FE68DE"/>
    <w:rsid w:val="00FF0B13"/>
    <w:rsid w:val="00FF7086"/>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F8DE0"/>
  <w15:chartTrackingRefBased/>
  <w15:docId w15:val="{24DDEBE2-CE00-425E-B273-834215EBE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正文文本 字符"/>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批注框文本 字符"/>
    <w:link w:val="aa"/>
    <w:rPr>
      <w:rFonts w:ascii="Tahoma" w:hAnsi="Tahoma" w:cs="Tahoma"/>
      <w:sz w:val="16"/>
      <w:szCs w:val="16"/>
      <w:lang w:val="en-GB"/>
    </w:rPr>
  </w:style>
  <w:style w:type="character" w:customStyle="1" w:styleId="40">
    <w:name w:val="标题 4 字符"/>
    <w:link w:val="4"/>
    <w:rPr>
      <w:rFonts w:ascii="Arial" w:hAnsi="Arial"/>
      <w:sz w:val="24"/>
      <w:lang w:val="en-GB"/>
    </w:rPr>
  </w:style>
  <w:style w:type="character" w:customStyle="1" w:styleId="TALCar">
    <w:name w:val="TAL Car"/>
    <w:rPr>
      <w:rFonts w:ascii="Arial" w:hAnsi="Arial"/>
      <w:sz w:val="18"/>
      <w:lang w:val="en-GB"/>
    </w:rPr>
  </w:style>
  <w:style w:type="character" w:customStyle="1" w:styleId="TFChar">
    <w:name w:val="TF Char"/>
    <w:link w:val="TF"/>
    <w:rPr>
      <w:rFonts w:ascii="Arial" w:hAnsi="Arial"/>
      <w:b/>
      <w:lang w:val="en-GB"/>
    </w:rPr>
  </w:style>
  <w:style w:type="character" w:customStyle="1" w:styleId="UnresolvedMention">
    <w:name w:val="Unresolved Mention"/>
    <w:uiPriority w:val="99"/>
    <w:unhideWhenUsed/>
    <w:rPr>
      <w:color w:val="808080"/>
      <w:shd w:val="clear" w:color="auto" w:fill="E6E6E6"/>
    </w:rPr>
  </w:style>
  <w:style w:type="character" w:customStyle="1" w:styleId="30">
    <w:name w:val="标题 3 字符"/>
    <w:link w:val="3"/>
    <w:rPr>
      <w:rFonts w:ascii="Arial" w:hAnsi="Arial"/>
      <w:sz w:val="28"/>
      <w:lang w:val="en-GB"/>
    </w:rPr>
  </w:style>
  <w:style w:type="character" w:customStyle="1" w:styleId="ab">
    <w:name w:val="文档结构图 字符"/>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标题 2 字符"/>
    <w:link w:val="2"/>
    <w:rPr>
      <w:rFonts w:ascii="Arial" w:hAnsi="Arial"/>
      <w:sz w:val="32"/>
      <w:lang w:val="en-GB"/>
    </w:rPr>
  </w:style>
  <w:style w:type="character" w:customStyle="1" w:styleId="ad">
    <w:name w:val="批注文字 字符"/>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批注主题 字符"/>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目录 2"/>
    <w:basedOn w:val="10"/>
    <w:uiPriority w:val="39"/>
    <w:pPr>
      <w:keepNext w:val="0"/>
      <w:spacing w:before="0"/>
      <w:ind w:left="851" w:hanging="851"/>
    </w:pPr>
    <w:rPr>
      <w:sz w:val="20"/>
    </w:rPr>
  </w:style>
  <w:style w:type="paragraph" w:styleId="42">
    <w:name w:val="目录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af6">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0">
    <w:name w:val="目录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5"/>
    <w:pPr>
      <w:ind w:left="0" w:firstLine="0"/>
    </w:pPr>
  </w:style>
  <w:style w:type="paragraph" w:customStyle="1" w:styleId="EW">
    <w:name w:val="EW"/>
    <w:basedOn w:val="EX"/>
    <w:pPr>
      <w:spacing w:after="0"/>
    </w:pPr>
  </w:style>
  <w:style w:type="paragraph" w:styleId="af7">
    <w:name w:val="List Number"/>
    <w:basedOn w:val="af5"/>
    <w:pPr>
      <w:ind w:left="0" w:firstLine="0"/>
    </w:pPr>
  </w:style>
  <w:style w:type="paragraph" w:styleId="25">
    <w:name w:val="index 2"/>
    <w:basedOn w:val="11"/>
    <w:semiHidden/>
    <w:pPr>
      <w:ind w:left="284"/>
    </w:pPr>
  </w:style>
  <w:style w:type="paragraph" w:styleId="80">
    <w:name w:val="目录 8"/>
    <w:basedOn w:val="10"/>
    <w:uiPriority w:val="39"/>
    <w:pPr>
      <w:spacing w:before="180"/>
      <w:ind w:left="2693" w:hanging="2693"/>
    </w:pPr>
    <w:rPr>
      <w:b/>
    </w:rPr>
  </w:style>
  <w:style w:type="paragraph" w:styleId="24">
    <w:name w:val="List Bullet 2"/>
    <w:basedOn w:val="af8"/>
    <w:pPr>
      <w:ind w:left="851"/>
    </w:pPr>
  </w:style>
  <w:style w:type="paragraph" w:styleId="31">
    <w:name w:val="目录 3"/>
    <w:basedOn w:val="21"/>
    <w:uiPriority w:val="39"/>
    <w:pPr>
      <w:ind w:left="1134" w:hanging="1134"/>
    </w:pPr>
  </w:style>
  <w:style w:type="paragraph" w:styleId="60">
    <w:name w:val="目录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CN"/>
    </w:rPr>
  </w:style>
  <w:style w:type="paragraph" w:styleId="70">
    <w:name w:val="目录 7"/>
    <w:basedOn w:val="60"/>
    <w:next w:val="a"/>
    <w:uiPriority w:val="39"/>
    <w:pPr>
      <w:ind w:left="2268" w:hanging="2268"/>
    </w:pPr>
  </w:style>
  <w:style w:type="paragraph" w:styleId="52">
    <w:name w:val="目录 5"/>
    <w:basedOn w:val="42"/>
    <w:uiPriority w:val="39"/>
    <w:pPr>
      <w:ind w:left="1701" w:hanging="1701"/>
    </w:pPr>
  </w:style>
  <w:style w:type="paragraph" w:styleId="90">
    <w:name w:val="目录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1">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basedOn w:val="a1"/>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
    <w:link w:val="afd"/>
    <w:uiPriority w:val="34"/>
    <w:qFormat/>
    <w:rsid w:val="00BB69C2"/>
    <w:pPr>
      <w:spacing w:after="0"/>
      <w:ind w:firstLineChars="200" w:firstLine="420"/>
    </w:pPr>
    <w:rPr>
      <w:rFonts w:ascii="宋体" w:hAnsi="宋体" w:cs="宋体"/>
      <w:sz w:val="24"/>
      <w:szCs w:val="24"/>
      <w:lang w:val="en-US" w:eastAsia="zh-CN"/>
    </w:rPr>
  </w:style>
  <w:style w:type="character" w:customStyle="1" w:styleId="af3">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2"/>
    <w:rsid w:val="00543D75"/>
    <w:rPr>
      <w:rFonts w:ascii="Arial" w:hAnsi="Arial"/>
      <w:b/>
      <w:sz w:val="18"/>
      <w:lang w:val="en-GB" w:eastAsia="en-US"/>
    </w:rPr>
  </w:style>
  <w:style w:type="paragraph" w:customStyle="1" w:styleId="src">
    <w:name w:val="src"/>
    <w:basedOn w:val="a"/>
    <w:rsid w:val="00093832"/>
    <w:pPr>
      <w:spacing w:before="100" w:beforeAutospacing="1" w:after="100" w:afterAutospacing="1"/>
    </w:pPr>
    <w:rPr>
      <w:rFonts w:ascii="宋体" w:hAnsi="宋体" w:cs="宋体"/>
      <w:sz w:val="24"/>
      <w:szCs w:val="24"/>
      <w:lang w:val="en-US" w:eastAsia="zh-CN"/>
    </w:rPr>
  </w:style>
  <w:style w:type="paragraph" w:customStyle="1" w:styleId="Style0">
    <w:name w:val="_Style 0"/>
    <w:uiPriority w:val="1"/>
    <w:qFormat/>
    <w:rsid w:val="00562F82"/>
    <w:pPr>
      <w:widowControl w:val="0"/>
      <w:jc w:val="both"/>
    </w:pPr>
    <w:rPr>
      <w:kern w:val="2"/>
      <w:sz w:val="21"/>
      <w:szCs w:val="24"/>
    </w:rPr>
  </w:style>
  <w:style w:type="character" w:customStyle="1" w:styleId="afd">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c"/>
    <w:uiPriority w:val="34"/>
    <w:qFormat/>
    <w:locked/>
    <w:rsid w:val="00875968"/>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0599">
      <w:bodyDiv w:val="1"/>
      <w:marLeft w:val="0"/>
      <w:marRight w:val="0"/>
      <w:marTop w:val="0"/>
      <w:marBottom w:val="0"/>
      <w:divBdr>
        <w:top w:val="none" w:sz="0" w:space="0" w:color="auto"/>
        <w:left w:val="none" w:sz="0" w:space="0" w:color="auto"/>
        <w:bottom w:val="none" w:sz="0" w:space="0" w:color="auto"/>
        <w:right w:val="none" w:sz="0" w:space="0" w:color="auto"/>
      </w:divBdr>
      <w:divsChild>
        <w:div w:id="797604068">
          <w:marLeft w:val="1080"/>
          <w:marRight w:val="0"/>
          <w:marTop w:val="100"/>
          <w:marBottom w:val="0"/>
          <w:divBdr>
            <w:top w:val="none" w:sz="0" w:space="0" w:color="auto"/>
            <w:left w:val="none" w:sz="0" w:space="0" w:color="auto"/>
            <w:bottom w:val="none" w:sz="0" w:space="0" w:color="auto"/>
            <w:right w:val="none" w:sz="0" w:space="0" w:color="auto"/>
          </w:divBdr>
        </w:div>
      </w:divsChild>
    </w:div>
    <w:div w:id="61562449">
      <w:bodyDiv w:val="1"/>
      <w:marLeft w:val="0"/>
      <w:marRight w:val="0"/>
      <w:marTop w:val="0"/>
      <w:marBottom w:val="0"/>
      <w:divBdr>
        <w:top w:val="none" w:sz="0" w:space="0" w:color="auto"/>
        <w:left w:val="none" w:sz="0" w:space="0" w:color="auto"/>
        <w:bottom w:val="none" w:sz="0" w:space="0" w:color="auto"/>
        <w:right w:val="none" w:sz="0" w:space="0" w:color="auto"/>
      </w:divBdr>
    </w:div>
    <w:div w:id="108474572">
      <w:bodyDiv w:val="1"/>
      <w:marLeft w:val="0"/>
      <w:marRight w:val="0"/>
      <w:marTop w:val="0"/>
      <w:marBottom w:val="0"/>
      <w:divBdr>
        <w:top w:val="none" w:sz="0" w:space="0" w:color="auto"/>
        <w:left w:val="none" w:sz="0" w:space="0" w:color="auto"/>
        <w:bottom w:val="none" w:sz="0" w:space="0" w:color="auto"/>
        <w:right w:val="none" w:sz="0" w:space="0" w:color="auto"/>
      </w:divBdr>
    </w:div>
    <w:div w:id="112135836">
      <w:bodyDiv w:val="1"/>
      <w:marLeft w:val="0"/>
      <w:marRight w:val="0"/>
      <w:marTop w:val="0"/>
      <w:marBottom w:val="0"/>
      <w:divBdr>
        <w:top w:val="none" w:sz="0" w:space="0" w:color="auto"/>
        <w:left w:val="none" w:sz="0" w:space="0" w:color="auto"/>
        <w:bottom w:val="none" w:sz="0" w:space="0" w:color="auto"/>
        <w:right w:val="none" w:sz="0" w:space="0" w:color="auto"/>
      </w:divBdr>
    </w:div>
    <w:div w:id="124859519">
      <w:bodyDiv w:val="1"/>
      <w:marLeft w:val="0"/>
      <w:marRight w:val="0"/>
      <w:marTop w:val="0"/>
      <w:marBottom w:val="0"/>
      <w:divBdr>
        <w:top w:val="none" w:sz="0" w:space="0" w:color="auto"/>
        <w:left w:val="none" w:sz="0" w:space="0" w:color="auto"/>
        <w:bottom w:val="none" w:sz="0" w:space="0" w:color="auto"/>
        <w:right w:val="none" w:sz="0" w:space="0" w:color="auto"/>
      </w:divBdr>
      <w:divsChild>
        <w:div w:id="323438589">
          <w:marLeft w:val="1080"/>
          <w:marRight w:val="0"/>
          <w:marTop w:val="100"/>
          <w:marBottom w:val="0"/>
          <w:divBdr>
            <w:top w:val="none" w:sz="0" w:space="0" w:color="auto"/>
            <w:left w:val="none" w:sz="0" w:space="0" w:color="auto"/>
            <w:bottom w:val="none" w:sz="0" w:space="0" w:color="auto"/>
            <w:right w:val="none" w:sz="0" w:space="0" w:color="auto"/>
          </w:divBdr>
        </w:div>
        <w:div w:id="340863375">
          <w:marLeft w:val="1080"/>
          <w:marRight w:val="0"/>
          <w:marTop w:val="100"/>
          <w:marBottom w:val="0"/>
          <w:divBdr>
            <w:top w:val="none" w:sz="0" w:space="0" w:color="auto"/>
            <w:left w:val="none" w:sz="0" w:space="0" w:color="auto"/>
            <w:bottom w:val="none" w:sz="0" w:space="0" w:color="auto"/>
            <w:right w:val="none" w:sz="0" w:space="0" w:color="auto"/>
          </w:divBdr>
        </w:div>
        <w:div w:id="1584754239">
          <w:marLeft w:val="1080"/>
          <w:marRight w:val="0"/>
          <w:marTop w:val="100"/>
          <w:marBottom w:val="0"/>
          <w:divBdr>
            <w:top w:val="none" w:sz="0" w:space="0" w:color="auto"/>
            <w:left w:val="none" w:sz="0" w:space="0" w:color="auto"/>
            <w:bottom w:val="none" w:sz="0" w:space="0" w:color="auto"/>
            <w:right w:val="none" w:sz="0" w:space="0" w:color="auto"/>
          </w:divBdr>
        </w:div>
        <w:div w:id="1601110740">
          <w:marLeft w:val="1080"/>
          <w:marRight w:val="0"/>
          <w:marTop w:val="100"/>
          <w:marBottom w:val="0"/>
          <w:divBdr>
            <w:top w:val="none" w:sz="0" w:space="0" w:color="auto"/>
            <w:left w:val="none" w:sz="0" w:space="0" w:color="auto"/>
            <w:bottom w:val="none" w:sz="0" w:space="0" w:color="auto"/>
            <w:right w:val="none" w:sz="0" w:space="0" w:color="auto"/>
          </w:divBdr>
        </w:div>
      </w:divsChild>
    </w:div>
    <w:div w:id="167595803">
      <w:bodyDiv w:val="1"/>
      <w:marLeft w:val="0"/>
      <w:marRight w:val="0"/>
      <w:marTop w:val="0"/>
      <w:marBottom w:val="0"/>
      <w:divBdr>
        <w:top w:val="none" w:sz="0" w:space="0" w:color="auto"/>
        <w:left w:val="none" w:sz="0" w:space="0" w:color="auto"/>
        <w:bottom w:val="none" w:sz="0" w:space="0" w:color="auto"/>
        <w:right w:val="none" w:sz="0" w:space="0" w:color="auto"/>
      </w:divBdr>
    </w:div>
    <w:div w:id="169950569">
      <w:bodyDiv w:val="1"/>
      <w:marLeft w:val="0"/>
      <w:marRight w:val="0"/>
      <w:marTop w:val="0"/>
      <w:marBottom w:val="0"/>
      <w:divBdr>
        <w:top w:val="none" w:sz="0" w:space="0" w:color="auto"/>
        <w:left w:val="none" w:sz="0" w:space="0" w:color="auto"/>
        <w:bottom w:val="none" w:sz="0" w:space="0" w:color="auto"/>
        <w:right w:val="none" w:sz="0" w:space="0" w:color="auto"/>
      </w:divBdr>
    </w:div>
    <w:div w:id="201793941">
      <w:bodyDiv w:val="1"/>
      <w:marLeft w:val="0"/>
      <w:marRight w:val="0"/>
      <w:marTop w:val="0"/>
      <w:marBottom w:val="0"/>
      <w:divBdr>
        <w:top w:val="none" w:sz="0" w:space="0" w:color="auto"/>
        <w:left w:val="none" w:sz="0" w:space="0" w:color="auto"/>
        <w:bottom w:val="none" w:sz="0" w:space="0" w:color="auto"/>
        <w:right w:val="none" w:sz="0" w:space="0" w:color="auto"/>
      </w:divBdr>
      <w:divsChild>
        <w:div w:id="888608074">
          <w:marLeft w:val="1080"/>
          <w:marRight w:val="0"/>
          <w:marTop w:val="100"/>
          <w:marBottom w:val="0"/>
          <w:divBdr>
            <w:top w:val="none" w:sz="0" w:space="0" w:color="auto"/>
            <w:left w:val="none" w:sz="0" w:space="0" w:color="auto"/>
            <w:bottom w:val="none" w:sz="0" w:space="0" w:color="auto"/>
            <w:right w:val="none" w:sz="0" w:space="0" w:color="auto"/>
          </w:divBdr>
        </w:div>
        <w:div w:id="1133517756">
          <w:marLeft w:val="1080"/>
          <w:marRight w:val="0"/>
          <w:marTop w:val="100"/>
          <w:marBottom w:val="0"/>
          <w:divBdr>
            <w:top w:val="none" w:sz="0" w:space="0" w:color="auto"/>
            <w:left w:val="none" w:sz="0" w:space="0" w:color="auto"/>
            <w:bottom w:val="none" w:sz="0" w:space="0" w:color="auto"/>
            <w:right w:val="none" w:sz="0" w:space="0" w:color="auto"/>
          </w:divBdr>
        </w:div>
        <w:div w:id="1373265842">
          <w:marLeft w:val="1080"/>
          <w:marRight w:val="0"/>
          <w:marTop w:val="100"/>
          <w:marBottom w:val="0"/>
          <w:divBdr>
            <w:top w:val="none" w:sz="0" w:space="0" w:color="auto"/>
            <w:left w:val="none" w:sz="0" w:space="0" w:color="auto"/>
            <w:bottom w:val="none" w:sz="0" w:space="0" w:color="auto"/>
            <w:right w:val="none" w:sz="0" w:space="0" w:color="auto"/>
          </w:divBdr>
        </w:div>
        <w:div w:id="1480727275">
          <w:marLeft w:val="1800"/>
          <w:marRight w:val="0"/>
          <w:marTop w:val="100"/>
          <w:marBottom w:val="0"/>
          <w:divBdr>
            <w:top w:val="none" w:sz="0" w:space="0" w:color="auto"/>
            <w:left w:val="none" w:sz="0" w:space="0" w:color="auto"/>
            <w:bottom w:val="none" w:sz="0" w:space="0" w:color="auto"/>
            <w:right w:val="none" w:sz="0" w:space="0" w:color="auto"/>
          </w:divBdr>
        </w:div>
        <w:div w:id="2062820330">
          <w:marLeft w:val="1800"/>
          <w:marRight w:val="0"/>
          <w:marTop w:val="100"/>
          <w:marBottom w:val="0"/>
          <w:divBdr>
            <w:top w:val="none" w:sz="0" w:space="0" w:color="auto"/>
            <w:left w:val="none" w:sz="0" w:space="0" w:color="auto"/>
            <w:bottom w:val="none" w:sz="0" w:space="0" w:color="auto"/>
            <w:right w:val="none" w:sz="0" w:space="0" w:color="auto"/>
          </w:divBdr>
        </w:div>
      </w:divsChild>
    </w:div>
    <w:div w:id="207381078">
      <w:bodyDiv w:val="1"/>
      <w:marLeft w:val="0"/>
      <w:marRight w:val="0"/>
      <w:marTop w:val="0"/>
      <w:marBottom w:val="0"/>
      <w:divBdr>
        <w:top w:val="none" w:sz="0" w:space="0" w:color="auto"/>
        <w:left w:val="none" w:sz="0" w:space="0" w:color="auto"/>
        <w:bottom w:val="none" w:sz="0" w:space="0" w:color="auto"/>
        <w:right w:val="none" w:sz="0" w:space="0" w:color="auto"/>
      </w:divBdr>
      <w:divsChild>
        <w:div w:id="327951168">
          <w:marLeft w:val="1080"/>
          <w:marRight w:val="0"/>
          <w:marTop w:val="100"/>
          <w:marBottom w:val="0"/>
          <w:divBdr>
            <w:top w:val="none" w:sz="0" w:space="0" w:color="auto"/>
            <w:left w:val="none" w:sz="0" w:space="0" w:color="auto"/>
            <w:bottom w:val="none" w:sz="0" w:space="0" w:color="auto"/>
            <w:right w:val="none" w:sz="0" w:space="0" w:color="auto"/>
          </w:divBdr>
        </w:div>
        <w:div w:id="577398324">
          <w:marLeft w:val="1080"/>
          <w:marRight w:val="0"/>
          <w:marTop w:val="100"/>
          <w:marBottom w:val="0"/>
          <w:divBdr>
            <w:top w:val="none" w:sz="0" w:space="0" w:color="auto"/>
            <w:left w:val="none" w:sz="0" w:space="0" w:color="auto"/>
            <w:bottom w:val="none" w:sz="0" w:space="0" w:color="auto"/>
            <w:right w:val="none" w:sz="0" w:space="0" w:color="auto"/>
          </w:divBdr>
        </w:div>
        <w:div w:id="2025327618">
          <w:marLeft w:val="1080"/>
          <w:marRight w:val="0"/>
          <w:marTop w:val="100"/>
          <w:marBottom w:val="0"/>
          <w:divBdr>
            <w:top w:val="none" w:sz="0" w:space="0" w:color="auto"/>
            <w:left w:val="none" w:sz="0" w:space="0" w:color="auto"/>
            <w:bottom w:val="none" w:sz="0" w:space="0" w:color="auto"/>
            <w:right w:val="none" w:sz="0" w:space="0" w:color="auto"/>
          </w:divBdr>
        </w:div>
      </w:divsChild>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3225306">
      <w:bodyDiv w:val="1"/>
      <w:marLeft w:val="0"/>
      <w:marRight w:val="0"/>
      <w:marTop w:val="0"/>
      <w:marBottom w:val="0"/>
      <w:divBdr>
        <w:top w:val="none" w:sz="0" w:space="0" w:color="auto"/>
        <w:left w:val="none" w:sz="0" w:space="0" w:color="auto"/>
        <w:bottom w:val="none" w:sz="0" w:space="0" w:color="auto"/>
        <w:right w:val="none" w:sz="0" w:space="0" w:color="auto"/>
      </w:divBdr>
    </w:div>
    <w:div w:id="265190810">
      <w:bodyDiv w:val="1"/>
      <w:marLeft w:val="0"/>
      <w:marRight w:val="0"/>
      <w:marTop w:val="0"/>
      <w:marBottom w:val="0"/>
      <w:divBdr>
        <w:top w:val="none" w:sz="0" w:space="0" w:color="auto"/>
        <w:left w:val="none" w:sz="0" w:space="0" w:color="auto"/>
        <w:bottom w:val="none" w:sz="0" w:space="0" w:color="auto"/>
        <w:right w:val="none" w:sz="0" w:space="0" w:color="auto"/>
      </w:divBdr>
      <w:divsChild>
        <w:div w:id="1537548132">
          <w:marLeft w:val="1080"/>
          <w:marRight w:val="0"/>
          <w:marTop w:val="100"/>
          <w:marBottom w:val="0"/>
          <w:divBdr>
            <w:top w:val="none" w:sz="0" w:space="0" w:color="auto"/>
            <w:left w:val="none" w:sz="0" w:space="0" w:color="auto"/>
            <w:bottom w:val="none" w:sz="0" w:space="0" w:color="auto"/>
            <w:right w:val="none" w:sz="0" w:space="0" w:color="auto"/>
          </w:divBdr>
        </w:div>
        <w:div w:id="1644580176">
          <w:marLeft w:val="1080"/>
          <w:marRight w:val="0"/>
          <w:marTop w:val="100"/>
          <w:marBottom w:val="0"/>
          <w:divBdr>
            <w:top w:val="none" w:sz="0" w:space="0" w:color="auto"/>
            <w:left w:val="none" w:sz="0" w:space="0" w:color="auto"/>
            <w:bottom w:val="none" w:sz="0" w:space="0" w:color="auto"/>
            <w:right w:val="none" w:sz="0" w:space="0" w:color="auto"/>
          </w:divBdr>
        </w:div>
        <w:div w:id="1662544808">
          <w:marLeft w:val="1080"/>
          <w:marRight w:val="0"/>
          <w:marTop w:val="100"/>
          <w:marBottom w:val="0"/>
          <w:divBdr>
            <w:top w:val="none" w:sz="0" w:space="0" w:color="auto"/>
            <w:left w:val="none" w:sz="0" w:space="0" w:color="auto"/>
            <w:bottom w:val="none" w:sz="0" w:space="0" w:color="auto"/>
            <w:right w:val="none" w:sz="0" w:space="0" w:color="auto"/>
          </w:divBdr>
        </w:div>
        <w:div w:id="1829780393">
          <w:marLeft w:val="1080"/>
          <w:marRight w:val="0"/>
          <w:marTop w:val="100"/>
          <w:marBottom w:val="0"/>
          <w:divBdr>
            <w:top w:val="none" w:sz="0" w:space="0" w:color="auto"/>
            <w:left w:val="none" w:sz="0" w:space="0" w:color="auto"/>
            <w:bottom w:val="none" w:sz="0" w:space="0" w:color="auto"/>
            <w:right w:val="none" w:sz="0" w:space="0" w:color="auto"/>
          </w:divBdr>
        </w:div>
      </w:divsChild>
    </w:div>
    <w:div w:id="296834906">
      <w:bodyDiv w:val="1"/>
      <w:marLeft w:val="0"/>
      <w:marRight w:val="0"/>
      <w:marTop w:val="0"/>
      <w:marBottom w:val="0"/>
      <w:divBdr>
        <w:top w:val="none" w:sz="0" w:space="0" w:color="auto"/>
        <w:left w:val="none" w:sz="0" w:space="0" w:color="auto"/>
        <w:bottom w:val="none" w:sz="0" w:space="0" w:color="auto"/>
        <w:right w:val="none" w:sz="0" w:space="0" w:color="auto"/>
      </w:divBdr>
    </w:div>
    <w:div w:id="309939753">
      <w:bodyDiv w:val="1"/>
      <w:marLeft w:val="0"/>
      <w:marRight w:val="0"/>
      <w:marTop w:val="0"/>
      <w:marBottom w:val="0"/>
      <w:divBdr>
        <w:top w:val="none" w:sz="0" w:space="0" w:color="auto"/>
        <w:left w:val="none" w:sz="0" w:space="0" w:color="auto"/>
        <w:bottom w:val="none" w:sz="0" w:space="0" w:color="auto"/>
        <w:right w:val="none" w:sz="0" w:space="0" w:color="auto"/>
      </w:divBdr>
    </w:div>
    <w:div w:id="316611949">
      <w:bodyDiv w:val="1"/>
      <w:marLeft w:val="0"/>
      <w:marRight w:val="0"/>
      <w:marTop w:val="0"/>
      <w:marBottom w:val="0"/>
      <w:divBdr>
        <w:top w:val="none" w:sz="0" w:space="0" w:color="auto"/>
        <w:left w:val="none" w:sz="0" w:space="0" w:color="auto"/>
        <w:bottom w:val="none" w:sz="0" w:space="0" w:color="auto"/>
        <w:right w:val="none" w:sz="0" w:space="0" w:color="auto"/>
      </w:divBdr>
      <w:divsChild>
        <w:div w:id="123735525">
          <w:marLeft w:val="1800"/>
          <w:marRight w:val="0"/>
          <w:marTop w:val="100"/>
          <w:marBottom w:val="0"/>
          <w:divBdr>
            <w:top w:val="none" w:sz="0" w:space="0" w:color="auto"/>
            <w:left w:val="none" w:sz="0" w:space="0" w:color="auto"/>
            <w:bottom w:val="none" w:sz="0" w:space="0" w:color="auto"/>
            <w:right w:val="none" w:sz="0" w:space="0" w:color="auto"/>
          </w:divBdr>
        </w:div>
        <w:div w:id="1084455183">
          <w:marLeft w:val="1800"/>
          <w:marRight w:val="0"/>
          <w:marTop w:val="100"/>
          <w:marBottom w:val="0"/>
          <w:divBdr>
            <w:top w:val="none" w:sz="0" w:space="0" w:color="auto"/>
            <w:left w:val="none" w:sz="0" w:space="0" w:color="auto"/>
            <w:bottom w:val="none" w:sz="0" w:space="0" w:color="auto"/>
            <w:right w:val="none" w:sz="0" w:space="0" w:color="auto"/>
          </w:divBdr>
        </w:div>
        <w:div w:id="1739550032">
          <w:marLeft w:val="1800"/>
          <w:marRight w:val="0"/>
          <w:marTop w:val="100"/>
          <w:marBottom w:val="0"/>
          <w:divBdr>
            <w:top w:val="none" w:sz="0" w:space="0" w:color="auto"/>
            <w:left w:val="none" w:sz="0" w:space="0" w:color="auto"/>
            <w:bottom w:val="none" w:sz="0" w:space="0" w:color="auto"/>
            <w:right w:val="none" w:sz="0" w:space="0" w:color="auto"/>
          </w:divBdr>
        </w:div>
      </w:divsChild>
    </w:div>
    <w:div w:id="325478665">
      <w:bodyDiv w:val="1"/>
      <w:marLeft w:val="0"/>
      <w:marRight w:val="0"/>
      <w:marTop w:val="0"/>
      <w:marBottom w:val="0"/>
      <w:divBdr>
        <w:top w:val="none" w:sz="0" w:space="0" w:color="auto"/>
        <w:left w:val="none" w:sz="0" w:space="0" w:color="auto"/>
        <w:bottom w:val="none" w:sz="0" w:space="0" w:color="auto"/>
        <w:right w:val="none" w:sz="0" w:space="0" w:color="auto"/>
      </w:divBdr>
    </w:div>
    <w:div w:id="360742828">
      <w:bodyDiv w:val="1"/>
      <w:marLeft w:val="0"/>
      <w:marRight w:val="0"/>
      <w:marTop w:val="0"/>
      <w:marBottom w:val="0"/>
      <w:divBdr>
        <w:top w:val="none" w:sz="0" w:space="0" w:color="auto"/>
        <w:left w:val="none" w:sz="0" w:space="0" w:color="auto"/>
        <w:bottom w:val="none" w:sz="0" w:space="0" w:color="auto"/>
        <w:right w:val="none" w:sz="0" w:space="0" w:color="auto"/>
      </w:divBdr>
    </w:div>
    <w:div w:id="423768174">
      <w:bodyDiv w:val="1"/>
      <w:marLeft w:val="0"/>
      <w:marRight w:val="0"/>
      <w:marTop w:val="0"/>
      <w:marBottom w:val="0"/>
      <w:divBdr>
        <w:top w:val="none" w:sz="0" w:space="0" w:color="auto"/>
        <w:left w:val="none" w:sz="0" w:space="0" w:color="auto"/>
        <w:bottom w:val="none" w:sz="0" w:space="0" w:color="auto"/>
        <w:right w:val="none" w:sz="0" w:space="0" w:color="auto"/>
      </w:divBdr>
    </w:div>
    <w:div w:id="42449613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95389585">
      <w:bodyDiv w:val="1"/>
      <w:marLeft w:val="0"/>
      <w:marRight w:val="0"/>
      <w:marTop w:val="0"/>
      <w:marBottom w:val="0"/>
      <w:divBdr>
        <w:top w:val="none" w:sz="0" w:space="0" w:color="auto"/>
        <w:left w:val="none" w:sz="0" w:space="0" w:color="auto"/>
        <w:bottom w:val="none" w:sz="0" w:space="0" w:color="auto"/>
        <w:right w:val="none" w:sz="0" w:space="0" w:color="auto"/>
      </w:divBdr>
    </w:div>
    <w:div w:id="504823999">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4368076">
      <w:bodyDiv w:val="1"/>
      <w:marLeft w:val="0"/>
      <w:marRight w:val="0"/>
      <w:marTop w:val="0"/>
      <w:marBottom w:val="0"/>
      <w:divBdr>
        <w:top w:val="none" w:sz="0" w:space="0" w:color="auto"/>
        <w:left w:val="none" w:sz="0" w:space="0" w:color="auto"/>
        <w:bottom w:val="none" w:sz="0" w:space="0" w:color="auto"/>
        <w:right w:val="none" w:sz="0" w:space="0" w:color="auto"/>
      </w:divBdr>
      <w:divsChild>
        <w:div w:id="1150364569">
          <w:marLeft w:val="1800"/>
          <w:marRight w:val="0"/>
          <w:marTop w:val="240"/>
          <w:marBottom w:val="0"/>
          <w:divBdr>
            <w:top w:val="none" w:sz="0" w:space="0" w:color="auto"/>
            <w:left w:val="none" w:sz="0" w:space="0" w:color="auto"/>
            <w:bottom w:val="none" w:sz="0" w:space="0" w:color="auto"/>
            <w:right w:val="none" w:sz="0" w:space="0" w:color="auto"/>
          </w:divBdr>
        </w:div>
        <w:div w:id="1853953878">
          <w:marLeft w:val="1080"/>
          <w:marRight w:val="0"/>
          <w:marTop w:val="240"/>
          <w:marBottom w:val="0"/>
          <w:divBdr>
            <w:top w:val="none" w:sz="0" w:space="0" w:color="auto"/>
            <w:left w:val="none" w:sz="0" w:space="0" w:color="auto"/>
            <w:bottom w:val="none" w:sz="0" w:space="0" w:color="auto"/>
            <w:right w:val="none" w:sz="0" w:space="0" w:color="auto"/>
          </w:divBdr>
        </w:div>
        <w:div w:id="2100251823">
          <w:marLeft w:val="576"/>
          <w:marRight w:val="0"/>
          <w:marTop w:val="240"/>
          <w:marBottom w:val="0"/>
          <w:divBdr>
            <w:top w:val="none" w:sz="0" w:space="0" w:color="auto"/>
            <w:left w:val="none" w:sz="0" w:space="0" w:color="auto"/>
            <w:bottom w:val="none" w:sz="0" w:space="0" w:color="auto"/>
            <w:right w:val="none" w:sz="0" w:space="0" w:color="auto"/>
          </w:divBdr>
        </w:div>
      </w:divsChild>
    </w:div>
    <w:div w:id="53138487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614672804">
      <w:bodyDiv w:val="1"/>
      <w:marLeft w:val="0"/>
      <w:marRight w:val="0"/>
      <w:marTop w:val="0"/>
      <w:marBottom w:val="0"/>
      <w:divBdr>
        <w:top w:val="none" w:sz="0" w:space="0" w:color="auto"/>
        <w:left w:val="none" w:sz="0" w:space="0" w:color="auto"/>
        <w:bottom w:val="none" w:sz="0" w:space="0" w:color="auto"/>
        <w:right w:val="none" w:sz="0" w:space="0" w:color="auto"/>
      </w:divBdr>
      <w:divsChild>
        <w:div w:id="24912761">
          <w:marLeft w:val="3240"/>
          <w:marRight w:val="0"/>
          <w:marTop w:val="100"/>
          <w:marBottom w:val="0"/>
          <w:divBdr>
            <w:top w:val="none" w:sz="0" w:space="0" w:color="auto"/>
            <w:left w:val="none" w:sz="0" w:space="0" w:color="auto"/>
            <w:bottom w:val="none" w:sz="0" w:space="0" w:color="auto"/>
            <w:right w:val="none" w:sz="0" w:space="0" w:color="auto"/>
          </w:divBdr>
        </w:div>
        <w:div w:id="231087883">
          <w:marLeft w:val="3240"/>
          <w:marRight w:val="0"/>
          <w:marTop w:val="100"/>
          <w:marBottom w:val="0"/>
          <w:divBdr>
            <w:top w:val="none" w:sz="0" w:space="0" w:color="auto"/>
            <w:left w:val="none" w:sz="0" w:space="0" w:color="auto"/>
            <w:bottom w:val="none" w:sz="0" w:space="0" w:color="auto"/>
            <w:right w:val="none" w:sz="0" w:space="0" w:color="auto"/>
          </w:divBdr>
        </w:div>
        <w:div w:id="642853416">
          <w:marLeft w:val="1800"/>
          <w:marRight w:val="0"/>
          <w:marTop w:val="100"/>
          <w:marBottom w:val="0"/>
          <w:divBdr>
            <w:top w:val="none" w:sz="0" w:space="0" w:color="auto"/>
            <w:left w:val="none" w:sz="0" w:space="0" w:color="auto"/>
            <w:bottom w:val="none" w:sz="0" w:space="0" w:color="auto"/>
            <w:right w:val="none" w:sz="0" w:space="0" w:color="auto"/>
          </w:divBdr>
        </w:div>
        <w:div w:id="675304932">
          <w:marLeft w:val="2520"/>
          <w:marRight w:val="0"/>
          <w:marTop w:val="100"/>
          <w:marBottom w:val="0"/>
          <w:divBdr>
            <w:top w:val="none" w:sz="0" w:space="0" w:color="auto"/>
            <w:left w:val="none" w:sz="0" w:space="0" w:color="auto"/>
            <w:bottom w:val="none" w:sz="0" w:space="0" w:color="auto"/>
            <w:right w:val="none" w:sz="0" w:space="0" w:color="auto"/>
          </w:divBdr>
        </w:div>
        <w:div w:id="709263259">
          <w:marLeft w:val="2520"/>
          <w:marRight w:val="0"/>
          <w:marTop w:val="100"/>
          <w:marBottom w:val="0"/>
          <w:divBdr>
            <w:top w:val="none" w:sz="0" w:space="0" w:color="auto"/>
            <w:left w:val="none" w:sz="0" w:space="0" w:color="auto"/>
            <w:bottom w:val="none" w:sz="0" w:space="0" w:color="auto"/>
            <w:right w:val="none" w:sz="0" w:space="0" w:color="auto"/>
          </w:divBdr>
        </w:div>
        <w:div w:id="1880507152">
          <w:marLeft w:val="1080"/>
          <w:marRight w:val="0"/>
          <w:marTop w:val="100"/>
          <w:marBottom w:val="0"/>
          <w:divBdr>
            <w:top w:val="none" w:sz="0" w:space="0" w:color="auto"/>
            <w:left w:val="none" w:sz="0" w:space="0" w:color="auto"/>
            <w:bottom w:val="none" w:sz="0" w:space="0" w:color="auto"/>
            <w:right w:val="none" w:sz="0" w:space="0" w:color="auto"/>
          </w:divBdr>
        </w:div>
      </w:divsChild>
    </w:div>
    <w:div w:id="615137885">
      <w:bodyDiv w:val="1"/>
      <w:marLeft w:val="0"/>
      <w:marRight w:val="0"/>
      <w:marTop w:val="0"/>
      <w:marBottom w:val="0"/>
      <w:divBdr>
        <w:top w:val="none" w:sz="0" w:space="0" w:color="auto"/>
        <w:left w:val="none" w:sz="0" w:space="0" w:color="auto"/>
        <w:bottom w:val="none" w:sz="0" w:space="0" w:color="auto"/>
        <w:right w:val="none" w:sz="0" w:space="0" w:color="auto"/>
      </w:divBdr>
    </w:div>
    <w:div w:id="628512599">
      <w:bodyDiv w:val="1"/>
      <w:marLeft w:val="0"/>
      <w:marRight w:val="0"/>
      <w:marTop w:val="0"/>
      <w:marBottom w:val="0"/>
      <w:divBdr>
        <w:top w:val="none" w:sz="0" w:space="0" w:color="auto"/>
        <w:left w:val="none" w:sz="0" w:space="0" w:color="auto"/>
        <w:bottom w:val="none" w:sz="0" w:space="0" w:color="auto"/>
        <w:right w:val="none" w:sz="0" w:space="0" w:color="auto"/>
      </w:divBdr>
    </w:div>
    <w:div w:id="633561900">
      <w:bodyDiv w:val="1"/>
      <w:marLeft w:val="0"/>
      <w:marRight w:val="0"/>
      <w:marTop w:val="0"/>
      <w:marBottom w:val="0"/>
      <w:divBdr>
        <w:top w:val="none" w:sz="0" w:space="0" w:color="auto"/>
        <w:left w:val="none" w:sz="0" w:space="0" w:color="auto"/>
        <w:bottom w:val="none" w:sz="0" w:space="0" w:color="auto"/>
        <w:right w:val="none" w:sz="0" w:space="0" w:color="auto"/>
      </w:divBdr>
    </w:div>
    <w:div w:id="640812786">
      <w:bodyDiv w:val="1"/>
      <w:marLeft w:val="0"/>
      <w:marRight w:val="0"/>
      <w:marTop w:val="0"/>
      <w:marBottom w:val="0"/>
      <w:divBdr>
        <w:top w:val="none" w:sz="0" w:space="0" w:color="auto"/>
        <w:left w:val="none" w:sz="0" w:space="0" w:color="auto"/>
        <w:bottom w:val="none" w:sz="0" w:space="0" w:color="auto"/>
        <w:right w:val="none" w:sz="0" w:space="0" w:color="auto"/>
      </w:divBdr>
      <w:divsChild>
        <w:div w:id="49154805">
          <w:marLeft w:val="605"/>
          <w:marRight w:val="0"/>
          <w:marTop w:val="40"/>
          <w:marBottom w:val="80"/>
          <w:divBdr>
            <w:top w:val="none" w:sz="0" w:space="0" w:color="auto"/>
            <w:left w:val="none" w:sz="0" w:space="0" w:color="auto"/>
            <w:bottom w:val="none" w:sz="0" w:space="0" w:color="auto"/>
            <w:right w:val="none" w:sz="0" w:space="0" w:color="auto"/>
          </w:divBdr>
        </w:div>
        <w:div w:id="533347489">
          <w:marLeft w:val="1181"/>
          <w:marRight w:val="0"/>
          <w:marTop w:val="40"/>
          <w:marBottom w:val="80"/>
          <w:divBdr>
            <w:top w:val="none" w:sz="0" w:space="0" w:color="auto"/>
            <w:left w:val="none" w:sz="0" w:space="0" w:color="auto"/>
            <w:bottom w:val="none" w:sz="0" w:space="0" w:color="auto"/>
            <w:right w:val="none" w:sz="0" w:space="0" w:color="auto"/>
          </w:divBdr>
        </w:div>
        <w:div w:id="676733995">
          <w:marLeft w:val="605"/>
          <w:marRight w:val="0"/>
          <w:marTop w:val="40"/>
          <w:marBottom w:val="80"/>
          <w:divBdr>
            <w:top w:val="none" w:sz="0" w:space="0" w:color="auto"/>
            <w:left w:val="none" w:sz="0" w:space="0" w:color="auto"/>
            <w:bottom w:val="none" w:sz="0" w:space="0" w:color="auto"/>
            <w:right w:val="none" w:sz="0" w:space="0" w:color="auto"/>
          </w:divBdr>
        </w:div>
        <w:div w:id="836386294">
          <w:marLeft w:val="605"/>
          <w:marRight w:val="0"/>
          <w:marTop w:val="40"/>
          <w:marBottom w:val="80"/>
          <w:divBdr>
            <w:top w:val="none" w:sz="0" w:space="0" w:color="auto"/>
            <w:left w:val="none" w:sz="0" w:space="0" w:color="auto"/>
            <w:bottom w:val="none" w:sz="0" w:space="0" w:color="auto"/>
            <w:right w:val="none" w:sz="0" w:space="0" w:color="auto"/>
          </w:divBdr>
        </w:div>
        <w:div w:id="968129786">
          <w:marLeft w:val="893"/>
          <w:marRight w:val="0"/>
          <w:marTop w:val="40"/>
          <w:marBottom w:val="80"/>
          <w:divBdr>
            <w:top w:val="none" w:sz="0" w:space="0" w:color="auto"/>
            <w:left w:val="none" w:sz="0" w:space="0" w:color="auto"/>
            <w:bottom w:val="none" w:sz="0" w:space="0" w:color="auto"/>
            <w:right w:val="none" w:sz="0" w:space="0" w:color="auto"/>
          </w:divBdr>
        </w:div>
        <w:div w:id="1948199122">
          <w:marLeft w:val="1181"/>
          <w:marRight w:val="0"/>
          <w:marTop w:val="40"/>
          <w:marBottom w:val="80"/>
          <w:divBdr>
            <w:top w:val="none" w:sz="0" w:space="0" w:color="auto"/>
            <w:left w:val="none" w:sz="0" w:space="0" w:color="auto"/>
            <w:bottom w:val="none" w:sz="0" w:space="0" w:color="auto"/>
            <w:right w:val="none" w:sz="0" w:space="0" w:color="auto"/>
          </w:divBdr>
        </w:div>
        <w:div w:id="2026588290">
          <w:marLeft w:val="1181"/>
          <w:marRight w:val="0"/>
          <w:marTop w:val="40"/>
          <w:marBottom w:val="80"/>
          <w:divBdr>
            <w:top w:val="none" w:sz="0" w:space="0" w:color="auto"/>
            <w:left w:val="none" w:sz="0" w:space="0" w:color="auto"/>
            <w:bottom w:val="none" w:sz="0" w:space="0" w:color="auto"/>
            <w:right w:val="none" w:sz="0" w:space="0" w:color="auto"/>
          </w:divBdr>
        </w:div>
      </w:divsChild>
    </w:div>
    <w:div w:id="713509656">
      <w:bodyDiv w:val="1"/>
      <w:marLeft w:val="0"/>
      <w:marRight w:val="0"/>
      <w:marTop w:val="0"/>
      <w:marBottom w:val="0"/>
      <w:divBdr>
        <w:top w:val="none" w:sz="0" w:space="0" w:color="auto"/>
        <w:left w:val="none" w:sz="0" w:space="0" w:color="auto"/>
        <w:bottom w:val="none" w:sz="0" w:space="0" w:color="auto"/>
        <w:right w:val="none" w:sz="0" w:space="0" w:color="auto"/>
      </w:divBdr>
    </w:div>
    <w:div w:id="772481155">
      <w:bodyDiv w:val="1"/>
      <w:marLeft w:val="0"/>
      <w:marRight w:val="0"/>
      <w:marTop w:val="0"/>
      <w:marBottom w:val="0"/>
      <w:divBdr>
        <w:top w:val="none" w:sz="0" w:space="0" w:color="auto"/>
        <w:left w:val="none" w:sz="0" w:space="0" w:color="auto"/>
        <w:bottom w:val="none" w:sz="0" w:space="0" w:color="auto"/>
        <w:right w:val="none" w:sz="0" w:space="0" w:color="auto"/>
      </w:divBdr>
    </w:div>
    <w:div w:id="790167803">
      <w:bodyDiv w:val="1"/>
      <w:marLeft w:val="0"/>
      <w:marRight w:val="0"/>
      <w:marTop w:val="0"/>
      <w:marBottom w:val="0"/>
      <w:divBdr>
        <w:top w:val="none" w:sz="0" w:space="0" w:color="auto"/>
        <w:left w:val="none" w:sz="0" w:space="0" w:color="auto"/>
        <w:bottom w:val="none" w:sz="0" w:space="0" w:color="auto"/>
        <w:right w:val="none" w:sz="0" w:space="0" w:color="auto"/>
      </w:divBdr>
    </w:div>
    <w:div w:id="832061017">
      <w:bodyDiv w:val="1"/>
      <w:marLeft w:val="0"/>
      <w:marRight w:val="0"/>
      <w:marTop w:val="0"/>
      <w:marBottom w:val="0"/>
      <w:divBdr>
        <w:top w:val="none" w:sz="0" w:space="0" w:color="auto"/>
        <w:left w:val="none" w:sz="0" w:space="0" w:color="auto"/>
        <w:bottom w:val="none" w:sz="0" w:space="0" w:color="auto"/>
        <w:right w:val="none" w:sz="0" w:space="0" w:color="auto"/>
      </w:divBdr>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51664191">
      <w:bodyDiv w:val="1"/>
      <w:marLeft w:val="0"/>
      <w:marRight w:val="0"/>
      <w:marTop w:val="0"/>
      <w:marBottom w:val="0"/>
      <w:divBdr>
        <w:top w:val="none" w:sz="0" w:space="0" w:color="auto"/>
        <w:left w:val="none" w:sz="0" w:space="0" w:color="auto"/>
        <w:bottom w:val="none" w:sz="0" w:space="0" w:color="auto"/>
        <w:right w:val="none" w:sz="0" w:space="0" w:color="auto"/>
      </w:divBdr>
    </w:div>
    <w:div w:id="964123827">
      <w:bodyDiv w:val="1"/>
      <w:marLeft w:val="0"/>
      <w:marRight w:val="0"/>
      <w:marTop w:val="0"/>
      <w:marBottom w:val="0"/>
      <w:divBdr>
        <w:top w:val="none" w:sz="0" w:space="0" w:color="auto"/>
        <w:left w:val="none" w:sz="0" w:space="0" w:color="auto"/>
        <w:bottom w:val="none" w:sz="0" w:space="0" w:color="auto"/>
        <w:right w:val="none" w:sz="0" w:space="0" w:color="auto"/>
      </w:divBdr>
    </w:div>
    <w:div w:id="1010331323">
      <w:bodyDiv w:val="1"/>
      <w:marLeft w:val="0"/>
      <w:marRight w:val="0"/>
      <w:marTop w:val="0"/>
      <w:marBottom w:val="0"/>
      <w:divBdr>
        <w:top w:val="none" w:sz="0" w:space="0" w:color="auto"/>
        <w:left w:val="none" w:sz="0" w:space="0" w:color="auto"/>
        <w:bottom w:val="none" w:sz="0" w:space="0" w:color="auto"/>
        <w:right w:val="none" w:sz="0" w:space="0" w:color="auto"/>
      </w:divBdr>
      <w:divsChild>
        <w:div w:id="279920471">
          <w:marLeft w:val="3240"/>
          <w:marRight w:val="0"/>
          <w:marTop w:val="100"/>
          <w:marBottom w:val="0"/>
          <w:divBdr>
            <w:top w:val="none" w:sz="0" w:space="0" w:color="auto"/>
            <w:left w:val="none" w:sz="0" w:space="0" w:color="auto"/>
            <w:bottom w:val="none" w:sz="0" w:space="0" w:color="auto"/>
            <w:right w:val="none" w:sz="0" w:space="0" w:color="auto"/>
          </w:divBdr>
        </w:div>
        <w:div w:id="1053890176">
          <w:marLeft w:val="2520"/>
          <w:marRight w:val="0"/>
          <w:marTop w:val="100"/>
          <w:marBottom w:val="0"/>
          <w:divBdr>
            <w:top w:val="none" w:sz="0" w:space="0" w:color="auto"/>
            <w:left w:val="none" w:sz="0" w:space="0" w:color="auto"/>
            <w:bottom w:val="none" w:sz="0" w:space="0" w:color="auto"/>
            <w:right w:val="none" w:sz="0" w:space="0" w:color="auto"/>
          </w:divBdr>
        </w:div>
        <w:div w:id="1453013204">
          <w:marLeft w:val="1800"/>
          <w:marRight w:val="0"/>
          <w:marTop w:val="100"/>
          <w:marBottom w:val="0"/>
          <w:divBdr>
            <w:top w:val="none" w:sz="0" w:space="0" w:color="auto"/>
            <w:left w:val="none" w:sz="0" w:space="0" w:color="auto"/>
            <w:bottom w:val="none" w:sz="0" w:space="0" w:color="auto"/>
            <w:right w:val="none" w:sz="0" w:space="0" w:color="auto"/>
          </w:divBdr>
        </w:div>
        <w:div w:id="1603604313">
          <w:marLeft w:val="3240"/>
          <w:marRight w:val="0"/>
          <w:marTop w:val="100"/>
          <w:marBottom w:val="0"/>
          <w:divBdr>
            <w:top w:val="none" w:sz="0" w:space="0" w:color="auto"/>
            <w:left w:val="none" w:sz="0" w:space="0" w:color="auto"/>
            <w:bottom w:val="none" w:sz="0" w:space="0" w:color="auto"/>
            <w:right w:val="none" w:sz="0" w:space="0" w:color="auto"/>
          </w:divBdr>
        </w:div>
        <w:div w:id="1898319405">
          <w:marLeft w:val="2520"/>
          <w:marRight w:val="0"/>
          <w:marTop w:val="100"/>
          <w:marBottom w:val="0"/>
          <w:divBdr>
            <w:top w:val="none" w:sz="0" w:space="0" w:color="auto"/>
            <w:left w:val="none" w:sz="0" w:space="0" w:color="auto"/>
            <w:bottom w:val="none" w:sz="0" w:space="0" w:color="auto"/>
            <w:right w:val="none" w:sz="0" w:space="0" w:color="auto"/>
          </w:divBdr>
        </w:div>
        <w:div w:id="1991009741">
          <w:marLeft w:val="1080"/>
          <w:marRight w:val="0"/>
          <w:marTop w:val="100"/>
          <w:marBottom w:val="0"/>
          <w:divBdr>
            <w:top w:val="none" w:sz="0" w:space="0" w:color="auto"/>
            <w:left w:val="none" w:sz="0" w:space="0" w:color="auto"/>
            <w:bottom w:val="none" w:sz="0" w:space="0" w:color="auto"/>
            <w:right w:val="none" w:sz="0" w:space="0" w:color="auto"/>
          </w:divBdr>
        </w:div>
      </w:divsChild>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7657731">
      <w:bodyDiv w:val="1"/>
      <w:marLeft w:val="0"/>
      <w:marRight w:val="0"/>
      <w:marTop w:val="0"/>
      <w:marBottom w:val="0"/>
      <w:divBdr>
        <w:top w:val="none" w:sz="0" w:space="0" w:color="auto"/>
        <w:left w:val="none" w:sz="0" w:space="0" w:color="auto"/>
        <w:bottom w:val="none" w:sz="0" w:space="0" w:color="auto"/>
        <w:right w:val="none" w:sz="0" w:space="0" w:color="auto"/>
      </w:divBdr>
    </w:div>
    <w:div w:id="1135222622">
      <w:bodyDiv w:val="1"/>
      <w:marLeft w:val="0"/>
      <w:marRight w:val="0"/>
      <w:marTop w:val="0"/>
      <w:marBottom w:val="0"/>
      <w:divBdr>
        <w:top w:val="none" w:sz="0" w:space="0" w:color="auto"/>
        <w:left w:val="none" w:sz="0" w:space="0" w:color="auto"/>
        <w:bottom w:val="none" w:sz="0" w:space="0" w:color="auto"/>
        <w:right w:val="none" w:sz="0" w:space="0" w:color="auto"/>
      </w:divBdr>
    </w:div>
    <w:div w:id="1227300538">
      <w:bodyDiv w:val="1"/>
      <w:marLeft w:val="0"/>
      <w:marRight w:val="0"/>
      <w:marTop w:val="0"/>
      <w:marBottom w:val="0"/>
      <w:divBdr>
        <w:top w:val="none" w:sz="0" w:space="0" w:color="auto"/>
        <w:left w:val="none" w:sz="0" w:space="0" w:color="auto"/>
        <w:bottom w:val="none" w:sz="0" w:space="0" w:color="auto"/>
        <w:right w:val="none" w:sz="0" w:space="0" w:color="auto"/>
      </w:divBdr>
    </w:div>
    <w:div w:id="1229613987">
      <w:bodyDiv w:val="1"/>
      <w:marLeft w:val="0"/>
      <w:marRight w:val="0"/>
      <w:marTop w:val="0"/>
      <w:marBottom w:val="0"/>
      <w:divBdr>
        <w:top w:val="none" w:sz="0" w:space="0" w:color="auto"/>
        <w:left w:val="none" w:sz="0" w:space="0" w:color="auto"/>
        <w:bottom w:val="none" w:sz="0" w:space="0" w:color="auto"/>
        <w:right w:val="none" w:sz="0" w:space="0" w:color="auto"/>
      </w:divBdr>
    </w:div>
    <w:div w:id="1246571406">
      <w:bodyDiv w:val="1"/>
      <w:marLeft w:val="0"/>
      <w:marRight w:val="0"/>
      <w:marTop w:val="0"/>
      <w:marBottom w:val="0"/>
      <w:divBdr>
        <w:top w:val="none" w:sz="0" w:space="0" w:color="auto"/>
        <w:left w:val="none" w:sz="0" w:space="0" w:color="auto"/>
        <w:bottom w:val="none" w:sz="0" w:space="0" w:color="auto"/>
        <w:right w:val="none" w:sz="0" w:space="0" w:color="auto"/>
      </w:divBdr>
    </w:div>
    <w:div w:id="1273898471">
      <w:bodyDiv w:val="1"/>
      <w:marLeft w:val="0"/>
      <w:marRight w:val="0"/>
      <w:marTop w:val="0"/>
      <w:marBottom w:val="0"/>
      <w:divBdr>
        <w:top w:val="none" w:sz="0" w:space="0" w:color="auto"/>
        <w:left w:val="none" w:sz="0" w:space="0" w:color="auto"/>
        <w:bottom w:val="none" w:sz="0" w:space="0" w:color="auto"/>
        <w:right w:val="none" w:sz="0" w:space="0" w:color="auto"/>
      </w:divBdr>
    </w:div>
    <w:div w:id="1312295014">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92461189">
      <w:bodyDiv w:val="1"/>
      <w:marLeft w:val="0"/>
      <w:marRight w:val="0"/>
      <w:marTop w:val="0"/>
      <w:marBottom w:val="0"/>
      <w:divBdr>
        <w:top w:val="none" w:sz="0" w:space="0" w:color="auto"/>
        <w:left w:val="none" w:sz="0" w:space="0" w:color="auto"/>
        <w:bottom w:val="none" w:sz="0" w:space="0" w:color="auto"/>
        <w:right w:val="none" w:sz="0" w:space="0" w:color="auto"/>
      </w:divBdr>
    </w:div>
    <w:div w:id="1401367311">
      <w:bodyDiv w:val="1"/>
      <w:marLeft w:val="0"/>
      <w:marRight w:val="0"/>
      <w:marTop w:val="0"/>
      <w:marBottom w:val="0"/>
      <w:divBdr>
        <w:top w:val="none" w:sz="0" w:space="0" w:color="auto"/>
        <w:left w:val="none" w:sz="0" w:space="0" w:color="auto"/>
        <w:bottom w:val="none" w:sz="0" w:space="0" w:color="auto"/>
        <w:right w:val="none" w:sz="0" w:space="0" w:color="auto"/>
      </w:divBdr>
    </w:div>
    <w:div w:id="1414084959">
      <w:bodyDiv w:val="1"/>
      <w:marLeft w:val="0"/>
      <w:marRight w:val="0"/>
      <w:marTop w:val="0"/>
      <w:marBottom w:val="0"/>
      <w:divBdr>
        <w:top w:val="none" w:sz="0" w:space="0" w:color="auto"/>
        <w:left w:val="none" w:sz="0" w:space="0" w:color="auto"/>
        <w:bottom w:val="none" w:sz="0" w:space="0" w:color="auto"/>
        <w:right w:val="none" w:sz="0" w:space="0" w:color="auto"/>
      </w:divBdr>
    </w:div>
    <w:div w:id="1419256518">
      <w:bodyDiv w:val="1"/>
      <w:marLeft w:val="0"/>
      <w:marRight w:val="0"/>
      <w:marTop w:val="0"/>
      <w:marBottom w:val="0"/>
      <w:divBdr>
        <w:top w:val="none" w:sz="0" w:space="0" w:color="auto"/>
        <w:left w:val="none" w:sz="0" w:space="0" w:color="auto"/>
        <w:bottom w:val="none" w:sz="0" w:space="0" w:color="auto"/>
        <w:right w:val="none" w:sz="0" w:space="0" w:color="auto"/>
      </w:divBdr>
    </w:div>
    <w:div w:id="1438285177">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500005244">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81603066">
      <w:bodyDiv w:val="1"/>
      <w:marLeft w:val="0"/>
      <w:marRight w:val="0"/>
      <w:marTop w:val="0"/>
      <w:marBottom w:val="0"/>
      <w:divBdr>
        <w:top w:val="none" w:sz="0" w:space="0" w:color="auto"/>
        <w:left w:val="none" w:sz="0" w:space="0" w:color="auto"/>
        <w:bottom w:val="none" w:sz="0" w:space="0" w:color="auto"/>
        <w:right w:val="none" w:sz="0" w:space="0" w:color="auto"/>
      </w:divBdr>
    </w:div>
    <w:div w:id="1587374210">
      <w:bodyDiv w:val="1"/>
      <w:marLeft w:val="0"/>
      <w:marRight w:val="0"/>
      <w:marTop w:val="0"/>
      <w:marBottom w:val="0"/>
      <w:divBdr>
        <w:top w:val="none" w:sz="0" w:space="0" w:color="auto"/>
        <w:left w:val="none" w:sz="0" w:space="0" w:color="auto"/>
        <w:bottom w:val="none" w:sz="0" w:space="0" w:color="auto"/>
        <w:right w:val="none" w:sz="0" w:space="0" w:color="auto"/>
      </w:divBdr>
    </w:div>
    <w:div w:id="1591155154">
      <w:bodyDiv w:val="1"/>
      <w:marLeft w:val="0"/>
      <w:marRight w:val="0"/>
      <w:marTop w:val="0"/>
      <w:marBottom w:val="0"/>
      <w:divBdr>
        <w:top w:val="none" w:sz="0" w:space="0" w:color="auto"/>
        <w:left w:val="none" w:sz="0" w:space="0" w:color="auto"/>
        <w:bottom w:val="none" w:sz="0" w:space="0" w:color="auto"/>
        <w:right w:val="none" w:sz="0" w:space="0" w:color="auto"/>
      </w:divBdr>
    </w:div>
    <w:div w:id="1684437030">
      <w:bodyDiv w:val="1"/>
      <w:marLeft w:val="0"/>
      <w:marRight w:val="0"/>
      <w:marTop w:val="0"/>
      <w:marBottom w:val="0"/>
      <w:divBdr>
        <w:top w:val="none" w:sz="0" w:space="0" w:color="auto"/>
        <w:left w:val="none" w:sz="0" w:space="0" w:color="auto"/>
        <w:bottom w:val="none" w:sz="0" w:space="0" w:color="auto"/>
        <w:right w:val="none" w:sz="0" w:space="0" w:color="auto"/>
      </w:divBdr>
    </w:div>
    <w:div w:id="1805544333">
      <w:bodyDiv w:val="1"/>
      <w:marLeft w:val="0"/>
      <w:marRight w:val="0"/>
      <w:marTop w:val="0"/>
      <w:marBottom w:val="0"/>
      <w:divBdr>
        <w:top w:val="none" w:sz="0" w:space="0" w:color="auto"/>
        <w:left w:val="none" w:sz="0" w:space="0" w:color="auto"/>
        <w:bottom w:val="none" w:sz="0" w:space="0" w:color="auto"/>
        <w:right w:val="none" w:sz="0" w:space="0" w:color="auto"/>
      </w:divBdr>
      <w:divsChild>
        <w:div w:id="165675302">
          <w:marLeft w:val="1800"/>
          <w:marRight w:val="0"/>
          <w:marTop w:val="100"/>
          <w:marBottom w:val="0"/>
          <w:divBdr>
            <w:top w:val="none" w:sz="0" w:space="0" w:color="auto"/>
            <w:left w:val="none" w:sz="0" w:space="0" w:color="auto"/>
            <w:bottom w:val="none" w:sz="0" w:space="0" w:color="auto"/>
            <w:right w:val="none" w:sz="0" w:space="0" w:color="auto"/>
          </w:divBdr>
        </w:div>
        <w:div w:id="466779336">
          <w:marLeft w:val="1080"/>
          <w:marRight w:val="0"/>
          <w:marTop w:val="100"/>
          <w:marBottom w:val="0"/>
          <w:divBdr>
            <w:top w:val="none" w:sz="0" w:space="0" w:color="auto"/>
            <w:left w:val="none" w:sz="0" w:space="0" w:color="auto"/>
            <w:bottom w:val="none" w:sz="0" w:space="0" w:color="auto"/>
            <w:right w:val="none" w:sz="0" w:space="0" w:color="auto"/>
          </w:divBdr>
        </w:div>
        <w:div w:id="1024749365">
          <w:marLeft w:val="2520"/>
          <w:marRight w:val="0"/>
          <w:marTop w:val="100"/>
          <w:marBottom w:val="0"/>
          <w:divBdr>
            <w:top w:val="none" w:sz="0" w:space="0" w:color="auto"/>
            <w:left w:val="none" w:sz="0" w:space="0" w:color="auto"/>
            <w:bottom w:val="none" w:sz="0" w:space="0" w:color="auto"/>
            <w:right w:val="none" w:sz="0" w:space="0" w:color="auto"/>
          </w:divBdr>
        </w:div>
        <w:div w:id="1624967745">
          <w:marLeft w:val="2520"/>
          <w:marRight w:val="0"/>
          <w:marTop w:val="100"/>
          <w:marBottom w:val="0"/>
          <w:divBdr>
            <w:top w:val="none" w:sz="0" w:space="0" w:color="auto"/>
            <w:left w:val="none" w:sz="0" w:space="0" w:color="auto"/>
            <w:bottom w:val="none" w:sz="0" w:space="0" w:color="auto"/>
            <w:right w:val="none" w:sz="0" w:space="0" w:color="auto"/>
          </w:divBdr>
        </w:div>
        <w:div w:id="1861814274">
          <w:marLeft w:val="2520"/>
          <w:marRight w:val="0"/>
          <w:marTop w:val="100"/>
          <w:marBottom w:val="0"/>
          <w:divBdr>
            <w:top w:val="none" w:sz="0" w:space="0" w:color="auto"/>
            <w:left w:val="none" w:sz="0" w:space="0" w:color="auto"/>
            <w:bottom w:val="none" w:sz="0" w:space="0" w:color="auto"/>
            <w:right w:val="none" w:sz="0" w:space="0" w:color="auto"/>
          </w:divBdr>
        </w:div>
      </w:divsChild>
    </w:div>
    <w:div w:id="1822425475">
      <w:bodyDiv w:val="1"/>
      <w:marLeft w:val="0"/>
      <w:marRight w:val="0"/>
      <w:marTop w:val="0"/>
      <w:marBottom w:val="0"/>
      <w:divBdr>
        <w:top w:val="none" w:sz="0" w:space="0" w:color="auto"/>
        <w:left w:val="none" w:sz="0" w:space="0" w:color="auto"/>
        <w:bottom w:val="none" w:sz="0" w:space="0" w:color="auto"/>
        <w:right w:val="none" w:sz="0" w:space="0" w:color="auto"/>
      </w:divBdr>
    </w:div>
    <w:div w:id="1822428388">
      <w:bodyDiv w:val="1"/>
      <w:marLeft w:val="0"/>
      <w:marRight w:val="0"/>
      <w:marTop w:val="0"/>
      <w:marBottom w:val="0"/>
      <w:divBdr>
        <w:top w:val="none" w:sz="0" w:space="0" w:color="auto"/>
        <w:left w:val="none" w:sz="0" w:space="0" w:color="auto"/>
        <w:bottom w:val="none" w:sz="0" w:space="0" w:color="auto"/>
        <w:right w:val="none" w:sz="0" w:space="0" w:color="auto"/>
      </w:divBdr>
    </w:div>
    <w:div w:id="1902324714">
      <w:bodyDiv w:val="1"/>
      <w:marLeft w:val="0"/>
      <w:marRight w:val="0"/>
      <w:marTop w:val="0"/>
      <w:marBottom w:val="0"/>
      <w:divBdr>
        <w:top w:val="none" w:sz="0" w:space="0" w:color="auto"/>
        <w:left w:val="none" w:sz="0" w:space="0" w:color="auto"/>
        <w:bottom w:val="none" w:sz="0" w:space="0" w:color="auto"/>
        <w:right w:val="none" w:sz="0" w:space="0" w:color="auto"/>
      </w:divBdr>
      <w:divsChild>
        <w:div w:id="139813404">
          <w:marLeft w:val="1080"/>
          <w:marRight w:val="0"/>
          <w:marTop w:val="100"/>
          <w:marBottom w:val="0"/>
          <w:divBdr>
            <w:top w:val="none" w:sz="0" w:space="0" w:color="auto"/>
            <w:left w:val="none" w:sz="0" w:space="0" w:color="auto"/>
            <w:bottom w:val="none" w:sz="0" w:space="0" w:color="auto"/>
            <w:right w:val="none" w:sz="0" w:space="0" w:color="auto"/>
          </w:divBdr>
        </w:div>
      </w:divsChild>
    </w:div>
    <w:div w:id="1927303897">
      <w:bodyDiv w:val="1"/>
      <w:marLeft w:val="0"/>
      <w:marRight w:val="0"/>
      <w:marTop w:val="0"/>
      <w:marBottom w:val="0"/>
      <w:divBdr>
        <w:top w:val="none" w:sz="0" w:space="0" w:color="auto"/>
        <w:left w:val="none" w:sz="0" w:space="0" w:color="auto"/>
        <w:bottom w:val="none" w:sz="0" w:space="0" w:color="auto"/>
        <w:right w:val="none" w:sz="0" w:space="0" w:color="auto"/>
      </w:divBdr>
    </w:div>
    <w:div w:id="1956985922">
      <w:bodyDiv w:val="1"/>
      <w:marLeft w:val="0"/>
      <w:marRight w:val="0"/>
      <w:marTop w:val="0"/>
      <w:marBottom w:val="0"/>
      <w:divBdr>
        <w:top w:val="none" w:sz="0" w:space="0" w:color="auto"/>
        <w:left w:val="none" w:sz="0" w:space="0" w:color="auto"/>
        <w:bottom w:val="none" w:sz="0" w:space="0" w:color="auto"/>
        <w:right w:val="none" w:sz="0" w:space="0" w:color="auto"/>
      </w:divBdr>
    </w:div>
    <w:div w:id="1974477504">
      <w:bodyDiv w:val="1"/>
      <w:marLeft w:val="0"/>
      <w:marRight w:val="0"/>
      <w:marTop w:val="0"/>
      <w:marBottom w:val="0"/>
      <w:divBdr>
        <w:top w:val="none" w:sz="0" w:space="0" w:color="auto"/>
        <w:left w:val="none" w:sz="0" w:space="0" w:color="auto"/>
        <w:bottom w:val="none" w:sz="0" w:space="0" w:color="auto"/>
        <w:right w:val="none" w:sz="0" w:space="0" w:color="auto"/>
      </w:divBdr>
    </w:div>
    <w:div w:id="1998263127">
      <w:bodyDiv w:val="1"/>
      <w:marLeft w:val="0"/>
      <w:marRight w:val="0"/>
      <w:marTop w:val="0"/>
      <w:marBottom w:val="0"/>
      <w:divBdr>
        <w:top w:val="none" w:sz="0" w:space="0" w:color="auto"/>
        <w:left w:val="none" w:sz="0" w:space="0" w:color="auto"/>
        <w:bottom w:val="none" w:sz="0" w:space="0" w:color="auto"/>
        <w:right w:val="none" w:sz="0" w:space="0" w:color="auto"/>
      </w:divBdr>
      <w:divsChild>
        <w:div w:id="652829746">
          <w:marLeft w:val="1800"/>
          <w:marRight w:val="0"/>
          <w:marTop w:val="100"/>
          <w:marBottom w:val="0"/>
          <w:divBdr>
            <w:top w:val="none" w:sz="0" w:space="0" w:color="auto"/>
            <w:left w:val="none" w:sz="0" w:space="0" w:color="auto"/>
            <w:bottom w:val="none" w:sz="0" w:space="0" w:color="auto"/>
            <w:right w:val="none" w:sz="0" w:space="0" w:color="auto"/>
          </w:divBdr>
        </w:div>
        <w:div w:id="690490771">
          <w:marLeft w:val="1080"/>
          <w:marRight w:val="0"/>
          <w:marTop w:val="100"/>
          <w:marBottom w:val="0"/>
          <w:divBdr>
            <w:top w:val="none" w:sz="0" w:space="0" w:color="auto"/>
            <w:left w:val="none" w:sz="0" w:space="0" w:color="auto"/>
            <w:bottom w:val="none" w:sz="0" w:space="0" w:color="auto"/>
            <w:right w:val="none" w:sz="0" w:space="0" w:color="auto"/>
          </w:divBdr>
        </w:div>
        <w:div w:id="1518082783">
          <w:marLeft w:val="2520"/>
          <w:marRight w:val="0"/>
          <w:marTop w:val="100"/>
          <w:marBottom w:val="0"/>
          <w:divBdr>
            <w:top w:val="none" w:sz="0" w:space="0" w:color="auto"/>
            <w:left w:val="none" w:sz="0" w:space="0" w:color="auto"/>
            <w:bottom w:val="none" w:sz="0" w:space="0" w:color="auto"/>
            <w:right w:val="none" w:sz="0" w:space="0" w:color="auto"/>
          </w:divBdr>
        </w:div>
        <w:div w:id="2074041423">
          <w:marLeft w:val="2520"/>
          <w:marRight w:val="0"/>
          <w:marTop w:val="100"/>
          <w:marBottom w:val="0"/>
          <w:divBdr>
            <w:top w:val="none" w:sz="0" w:space="0" w:color="auto"/>
            <w:left w:val="none" w:sz="0" w:space="0" w:color="auto"/>
            <w:bottom w:val="none" w:sz="0" w:space="0" w:color="auto"/>
            <w:right w:val="none" w:sz="0" w:space="0" w:color="auto"/>
          </w:divBdr>
        </w:div>
      </w:divsChild>
    </w:div>
    <w:div w:id="2044285025">
      <w:bodyDiv w:val="1"/>
      <w:marLeft w:val="0"/>
      <w:marRight w:val="0"/>
      <w:marTop w:val="0"/>
      <w:marBottom w:val="0"/>
      <w:divBdr>
        <w:top w:val="none" w:sz="0" w:space="0" w:color="auto"/>
        <w:left w:val="none" w:sz="0" w:space="0" w:color="auto"/>
        <w:bottom w:val="none" w:sz="0" w:space="0" w:color="auto"/>
        <w:right w:val="none" w:sz="0" w:space="0" w:color="auto"/>
      </w:divBdr>
    </w:div>
    <w:div w:id="2062827481">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8537462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5389</Characters>
  <Application>Microsoft Office Word</Application>
  <DocSecurity>0</DocSecurity>
  <Lines>44</Lines>
  <Paragraphs>12</Paragraphs>
  <ScaleCrop>false</ScaleCrop>
  <Company>Xiaomi</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Shengxiang Guo</dc:creator>
  <cp:keywords/>
  <cp:lastModifiedBy>Xiaomi</cp:lastModifiedBy>
  <cp:revision>2</cp:revision>
  <dcterms:created xsi:type="dcterms:W3CDTF">2024-11-08T03:21:00Z</dcterms:created>
  <dcterms:modified xsi:type="dcterms:W3CDTF">2024-11-08T03:21:00Z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CWMa2c292d09d8011ef800075e0000075e0">
    <vt:lpwstr>CWMUnBt4r7v4NK2DbBJxf/EfkXBvxpcAAi8jbavLlFxcq1UpCYQjLGg/16Wn59annD5dNcdQEOUIvri3kSQ3nGXIw==</vt:lpwstr>
  </property>
</Properties>
</file>